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ind w:left="842" w:hanging="422"/>
        <w:rPr>
          <w:rFonts w:ascii="宋体" w:hAnsi="宋体"/>
          <w:b/>
          <w:bCs/>
          <w:sz w:val="21"/>
          <w:szCs w:val="24"/>
        </w:rPr>
      </w:pPr>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ind w:firstLine="422" w:firstLineChars="200"/>
        <w:rPr>
          <w:rFonts w:ascii="宋体" w:hAnsi="宋体"/>
          <w:b/>
          <w:bCs/>
        </w:rPr>
      </w:pPr>
      <w:r>
        <w:rPr>
          <w:rFonts w:hint="eastAsia" w:ascii="宋体" w:hAnsi="宋体"/>
          <w:b/>
          <w:bCs/>
        </w:rPr>
        <w:t xml:space="preserve">2、本次服务采购最高限价为人民币叁拾万零柒仟伍佰元整(¥ </w:t>
      </w:r>
      <w:r>
        <w:rPr>
          <w:rFonts w:ascii="宋体" w:hAnsi="宋体"/>
          <w:b/>
          <w:bCs/>
        </w:rPr>
        <w:t>307500.00</w:t>
      </w:r>
      <w:r>
        <w:rPr>
          <w:rFonts w:hint="eastAsia" w:ascii="宋体" w:hAnsi="宋体"/>
          <w:b/>
          <w:bCs/>
        </w:rPr>
        <w:t xml:space="preserve"> 元)。</w:t>
      </w:r>
    </w:p>
    <w:p>
      <w:pPr>
        <w:pStyle w:val="11"/>
        <w:ind w:firstLine="422" w:firstLineChars="200"/>
        <w:rPr>
          <w:lang w:eastAsia="zh-CN"/>
        </w:rPr>
      </w:pPr>
      <w:r>
        <w:rPr>
          <w:rFonts w:hint="eastAsia" w:ascii="宋体" w:hAnsi="宋体"/>
          <w:b/>
          <w:bCs/>
          <w:sz w:val="21"/>
          <w:szCs w:val="24"/>
        </w:rPr>
        <w:t>3、采购标的对应的中小企业划分标准所属行业：其他未列明行业。</w:t>
      </w:r>
    </w:p>
    <w:p>
      <w:pPr>
        <w:pStyle w:val="5"/>
      </w:pPr>
    </w:p>
    <w:p>
      <w:pPr>
        <w:pStyle w:val="5"/>
        <w:rPr>
          <w:rFonts w:hint="eastAsia" w:ascii="宋体" w:hAnsi="宋体" w:eastAsia="宋体"/>
          <w:b/>
          <w:bCs/>
          <w:kern w:val="2"/>
          <w:sz w:val="21"/>
          <w:lang w:val="en-US" w:eastAsia="zh-CN"/>
        </w:rPr>
      </w:pPr>
      <w:r>
        <w:rPr>
          <w:rFonts w:hint="eastAsia" w:ascii="宋体" w:hAnsi="宋体"/>
          <w:b/>
          <w:bCs/>
          <w:kern w:val="2"/>
          <w:sz w:val="21"/>
        </w:rPr>
        <w:t>项目名称：南宁中心血站2023年世界献血者日宣传活动之系列活动舞美置景</w:t>
      </w:r>
      <w:r>
        <w:rPr>
          <w:rFonts w:hint="eastAsia" w:ascii="宋体" w:hAnsi="宋体"/>
          <w:b/>
          <w:bCs/>
          <w:kern w:val="2"/>
          <w:sz w:val="21"/>
          <w:lang w:val="en-US" w:eastAsia="zh-CN"/>
        </w:rPr>
        <w:t xml:space="preserve"> </w:t>
      </w:r>
      <w:r>
        <w:rPr>
          <w:rFonts w:hint="eastAsia" w:ascii="宋体" w:hAnsi="宋体"/>
          <w:b/>
          <w:bCs/>
          <w:kern w:val="2"/>
          <w:sz w:val="21"/>
          <w:highlight w:val="none"/>
          <w:lang w:val="en-US" w:eastAsia="zh-CN"/>
        </w:rPr>
        <w:t>SQ202307-12</w:t>
      </w:r>
    </w:p>
    <w:p>
      <w:pPr>
        <w:pStyle w:val="5"/>
        <w:jc w:val="center"/>
        <w:rPr>
          <w:b/>
          <w:sz w:val="36"/>
        </w:rPr>
      </w:pPr>
    </w:p>
    <w:tbl>
      <w:tblPr>
        <w:tblStyle w:val="15"/>
        <w:tblW w:w="105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1108"/>
        <w:gridCol w:w="712"/>
        <w:gridCol w:w="1757"/>
        <w:gridCol w:w="675"/>
        <w:gridCol w:w="780"/>
        <w:gridCol w:w="885"/>
        <w:gridCol w:w="900"/>
        <w:gridCol w:w="3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94"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8"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2469" w:type="dxa"/>
            <w:gridSpan w:val="2"/>
            <w:vAlign w:val="center"/>
          </w:tcPr>
          <w:p>
            <w:pPr>
              <w:tabs>
                <w:tab w:val="left" w:pos="180"/>
                <w:tab w:val="left" w:pos="1620"/>
              </w:tabs>
              <w:spacing w:line="360"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服务项目</w:t>
            </w:r>
          </w:p>
        </w:tc>
        <w:tc>
          <w:tcPr>
            <w:tcW w:w="675"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80"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885"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900"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单项合价（元）</w:t>
            </w:r>
          </w:p>
        </w:tc>
        <w:tc>
          <w:tcPr>
            <w:tcW w:w="3103" w:type="dxa"/>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restart"/>
            <w:vAlign w:val="center"/>
          </w:tcPr>
          <w:p>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08" w:type="dxa"/>
            <w:vMerge w:val="restart"/>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无偿献血才艺大赛</w:t>
            </w: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才艺大赛青秀万达广场舞台搭建</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restart"/>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70578</w:t>
            </w:r>
          </w:p>
        </w:tc>
        <w:tc>
          <w:tcPr>
            <w:tcW w:w="900" w:type="dxa"/>
            <w:vMerge w:val="restart"/>
            <w:vAlign w:val="center"/>
          </w:tcPr>
          <w:p>
            <w:pPr>
              <w:widowControl/>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170578</w:t>
            </w:r>
          </w:p>
        </w:tc>
        <w:tc>
          <w:tcPr>
            <w:tcW w:w="3103" w:type="dxa"/>
            <w:vMerge w:val="restart"/>
            <w:vAlign w:val="center"/>
          </w:tcPr>
          <w:p>
            <w:pPr>
              <w:widowControl/>
              <w:jc w:val="left"/>
              <w:textAlignment w:val="center"/>
              <w:rPr>
                <w:rFonts w:asciiTheme="minorEastAsia" w:hAnsiTheme="minorEastAsia" w:eastAsiaTheme="minorEastAsia" w:cstheme="minorEastAsia"/>
                <w:szCs w:val="21"/>
              </w:rPr>
            </w:pPr>
          </w:p>
          <w:p>
            <w:pPr>
              <w:widowControl/>
              <w:jc w:val="left"/>
              <w:textAlignment w:val="center"/>
              <w:rPr>
                <w:rFonts w:asciiTheme="minorEastAsia" w:hAnsiTheme="minorEastAsia" w:eastAsiaTheme="minorEastAsia" w:cstheme="minorEastAsia"/>
                <w:szCs w:val="21"/>
              </w:rPr>
            </w:pP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四场才艺大赛舞台舞美搭建和音响灯光配套，布场和舞台营造搭建与音响灯光配套，主舞台搭建和音响灯光租赁。</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才艺大赛青秀万达广场舞台搭建14mx8m*0.6m高，红色加厚地毯，舞台围边KT版造型</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才艺大赛青秀万达广场LED背景搭建主屏幕：P3屏  10m*4m</w:t>
            </w:r>
            <w:r>
              <w:rPr>
                <w:rFonts w:hint="eastAsia" w:asciiTheme="minorEastAsia" w:hAnsiTheme="minorEastAsia" w:eastAsiaTheme="minorEastAsia" w:cstheme="minorEastAsia"/>
                <w:kern w:val="2"/>
                <w:sz w:val="21"/>
                <w:szCs w:val="21"/>
                <w:lang w:val="en-US" w:eastAsia="zh-CN"/>
              </w:rPr>
              <w:t>,</w:t>
            </w:r>
            <w:r>
              <w:rPr>
                <w:rFonts w:hint="eastAsia" w:asciiTheme="minorEastAsia" w:hAnsiTheme="minorEastAsia" w:eastAsiaTheme="minorEastAsia" w:cstheme="minorEastAsia"/>
                <w:kern w:val="2"/>
                <w:sz w:val="21"/>
                <w:szCs w:val="21"/>
              </w:rPr>
              <w:t>侧屏幕：P3屏（0.5*3m+0.5*2.5m+0.5*2m）*2边</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才艺大赛青秀万达音响与灯光配套</w:t>
            </w:r>
            <w:r>
              <w:rPr>
                <w:rFonts w:hint="eastAsia" w:asciiTheme="minorEastAsia" w:hAnsiTheme="minorEastAsia" w:eastAsiaTheme="minorEastAsia" w:cstheme="minorEastAsia"/>
                <w:kern w:val="2"/>
                <w:sz w:val="21"/>
                <w:szCs w:val="21"/>
                <w:lang w:val="en-US" w:eastAsia="zh-CN"/>
              </w:rPr>
              <w:t>,</w:t>
            </w:r>
            <w:r>
              <w:rPr>
                <w:rFonts w:hint="eastAsia" w:asciiTheme="minorEastAsia" w:hAnsiTheme="minorEastAsia" w:eastAsiaTheme="minorEastAsia" w:cstheme="minorEastAsia"/>
                <w:kern w:val="2"/>
                <w:sz w:val="21"/>
                <w:szCs w:val="21"/>
              </w:rPr>
              <w:t>音响要求：线阵音响、7个立麦和话筒架</w:t>
            </w:r>
            <w:r>
              <w:rPr>
                <w:rFonts w:hint="eastAsia" w:asciiTheme="minorEastAsia" w:hAnsiTheme="minorEastAsia" w:eastAsiaTheme="minorEastAsia" w:cstheme="minorEastAsia"/>
                <w:kern w:val="2"/>
                <w:sz w:val="21"/>
                <w:szCs w:val="21"/>
                <w:lang w:val="en-US" w:eastAsia="zh-CN"/>
              </w:rPr>
              <w:t>,</w:t>
            </w:r>
            <w:r>
              <w:rPr>
                <w:rFonts w:hint="eastAsia" w:asciiTheme="minorEastAsia" w:hAnsiTheme="minorEastAsia" w:eastAsiaTheme="minorEastAsia" w:cstheme="minorEastAsia"/>
                <w:kern w:val="2"/>
                <w:sz w:val="21"/>
                <w:szCs w:val="21"/>
              </w:rPr>
              <w:t>灯光要求：电脑摇头灯40盏、面光灯染色灯合计70盏，灯光架一套</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才艺大赛三场海选舞台、背景、灯光、音响</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舞台：10mx7m*0.6m高</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灯光：4个灯光三脚架  、面光灯染色灯每场48盏</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音响：线阵音响、6个话筒架、6个话筒</w:t>
            </w:r>
            <w:r>
              <w:rPr>
                <w:rFonts w:hint="eastAsia" w:asciiTheme="minorEastAsia" w:hAnsiTheme="minorEastAsia" w:eastAsiaTheme="minorEastAsia" w:cstheme="minorEastAsia"/>
                <w:kern w:val="2"/>
                <w:sz w:val="21"/>
                <w:szCs w:val="21"/>
                <w:lang w:eastAsia="zh-CN"/>
              </w:rPr>
              <w:t>。</w:t>
            </w:r>
          </w:p>
          <w:p>
            <w:pPr>
              <w:pStyle w:val="5"/>
              <w:numPr>
                <w:ilvl w:val="0"/>
                <w:numId w:val="2"/>
              </w:numP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开园仪式主活动区现场布场物料和灯光、音响，以及配套沿路氛围营造布置。</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无偿献血主题晚会主题晚会舞台、LED、灯光、音响、观众椅、帐篷等物料</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舞台：14mx7m*0.6m高</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 xml:space="preserve">LED主屏幕：P3屏  10m*5m </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侧屏幕：P3屏1*5m*4块+1*4.5m*4块、雷亚架</w:t>
            </w:r>
          </w:p>
          <w:p>
            <w:pPr>
              <w:pStyle w:val="5"/>
              <w:numPr>
                <w:ilvl w:val="0"/>
                <w:numId w:val="0"/>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音响：全套线阵音响、配7个立式话筒架+7个无线话筒、控台、调音台</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灯光要求：电脑摇头灯40盏、面光灯染色灯合计70盏，灯光架一套</w:t>
            </w:r>
            <w:r>
              <w:rPr>
                <w:rFonts w:hint="eastAsia" w:asciiTheme="minorEastAsia" w:hAnsiTheme="minorEastAsia" w:eastAsiaTheme="minorEastAsia" w:cstheme="minorEastAsia"/>
                <w:kern w:val="2"/>
                <w:sz w:val="21"/>
                <w:szCs w:val="21"/>
                <w:lang w:eastAsia="zh-CN"/>
              </w:rPr>
              <w:t>，</w:t>
            </w:r>
            <w:r>
              <w:rPr>
                <w:rFonts w:hint="eastAsia" w:asciiTheme="minorEastAsia" w:hAnsiTheme="minorEastAsia" w:eastAsiaTheme="minorEastAsia" w:cstheme="minorEastAsia"/>
                <w:kern w:val="2"/>
                <w:sz w:val="21"/>
                <w:szCs w:val="21"/>
              </w:rPr>
              <w:t>折叠椅子不少于500张、折叠桌20张、拍手器等一批</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按质按量完成活动所有灯光音响服务，包含摇头灯、光束灯、电脑灯、控制台等，音响具体参数根据相关要求按照具体项目执行。</w:t>
            </w:r>
          </w:p>
          <w:p>
            <w:pPr>
              <w:pStyle w:val="5"/>
              <w:numPr>
                <w:ilvl w:val="0"/>
                <w:numId w:val="2"/>
              </w:numP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需出具舞美效果图，灯光及音响系统需满足现场活动需求。</w:t>
            </w:r>
          </w:p>
          <w:p>
            <w:pPr>
              <w:pStyle w:val="5"/>
              <w:numPr>
                <w:ilvl w:val="0"/>
                <w:numId w:val="2"/>
              </w:numPr>
              <w:rPr>
                <w:rFonts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rPr>
              <w:t xml:space="preserve"> 项目列详细物料清单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pPr>
          </w:p>
        </w:tc>
        <w:tc>
          <w:tcPr>
            <w:tcW w:w="1108" w:type="dxa"/>
            <w:vMerge w:val="continue"/>
            <w:vAlign w:val="center"/>
          </w:tcPr>
          <w:p>
            <w:pPr>
              <w:widowControl/>
              <w:jc w:val="left"/>
              <w:textAlignment w:val="center"/>
              <w:rPr>
                <w:rFonts w:asciiTheme="minorEastAsia" w:hAnsiTheme="minorEastAsia" w:eastAsiaTheme="minorEastAsia" w:cstheme="minorEastAsia"/>
                <w:szCs w:val="21"/>
              </w:rPr>
            </w:pP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才艺大赛青秀万达广场L</w:t>
            </w:r>
            <w:r>
              <w:rPr>
                <w:rFonts w:asciiTheme="minorEastAsia" w:hAnsiTheme="minorEastAsia" w:eastAsiaTheme="minorEastAsia" w:cstheme="minorEastAsia"/>
                <w:szCs w:val="21"/>
              </w:rPr>
              <w:t>ED</w:t>
            </w:r>
            <w:r>
              <w:rPr>
                <w:rFonts w:hint="eastAsia" w:asciiTheme="minorEastAsia" w:hAnsiTheme="minorEastAsia" w:eastAsiaTheme="minorEastAsia" w:cstheme="minorEastAsia"/>
                <w:szCs w:val="21"/>
              </w:rPr>
              <w:t>背景搭建</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widowControl/>
              <w:jc w:val="left"/>
              <w:textAlignment w:val="center"/>
              <w:rPr>
                <w:rFonts w:asciiTheme="minorEastAsia" w:hAnsiTheme="minorEastAsia" w:eastAsiaTheme="minorEastAsia" w:cstheme="minorEastAsia"/>
                <w:szCs w:val="21"/>
              </w:rPr>
            </w:pPr>
          </w:p>
        </w:tc>
        <w:tc>
          <w:tcPr>
            <w:tcW w:w="2469" w:type="dxa"/>
            <w:gridSpan w:val="2"/>
            <w:vAlign w:val="center"/>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才艺大赛青秀万达音响与灯光配套</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widowControl/>
              <w:jc w:val="left"/>
              <w:textAlignment w:val="center"/>
              <w:rPr>
                <w:rFonts w:asciiTheme="minorEastAsia" w:hAnsiTheme="minorEastAsia" w:eastAsiaTheme="minorEastAsia" w:cstheme="minorEastAsia"/>
                <w:szCs w:val="21"/>
              </w:rPr>
            </w:pPr>
          </w:p>
        </w:tc>
        <w:tc>
          <w:tcPr>
            <w:tcW w:w="2469" w:type="dxa"/>
            <w:gridSpan w:val="2"/>
            <w:vAlign w:val="center"/>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才艺大赛三场海选舞台、背景、灯光、音响</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pStyle w:val="5"/>
              <w:rPr>
                <w:rFonts w:asciiTheme="minorEastAsia" w:hAnsiTheme="minorEastAsia" w:eastAsiaTheme="minorEastAsia" w:cstheme="minorEastAsia"/>
                <w:kern w:val="2"/>
                <w:sz w:val="21"/>
                <w:szCs w:val="21"/>
              </w:rPr>
            </w:pP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观众区椅子不少于2</w:t>
            </w:r>
            <w:r>
              <w:rPr>
                <w:rFonts w:asciiTheme="minorEastAsia" w:hAnsiTheme="minorEastAsia" w:eastAsiaTheme="minorEastAsia" w:cstheme="minorEastAsia"/>
                <w:szCs w:val="21"/>
              </w:rPr>
              <w:t>50</w:t>
            </w:r>
            <w:r>
              <w:rPr>
                <w:rFonts w:hint="eastAsia" w:asciiTheme="minorEastAsia" w:hAnsiTheme="minorEastAsia" w:eastAsiaTheme="minorEastAsia" w:cstheme="minorEastAsia"/>
                <w:szCs w:val="21"/>
              </w:rPr>
              <w:t>张/场</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pStyle w:val="5"/>
              <w:rPr>
                <w:rFonts w:asciiTheme="minorEastAsia" w:hAnsiTheme="minorEastAsia" w:eastAsiaTheme="minorEastAsia" w:cstheme="minorEastAsia"/>
                <w:kern w:val="2"/>
                <w:sz w:val="21"/>
                <w:szCs w:val="21"/>
              </w:rPr>
            </w:pP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帐篷椅子台卡分数榜等配套物品</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 </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restart"/>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w:t>
            </w:r>
          </w:p>
        </w:tc>
        <w:tc>
          <w:tcPr>
            <w:tcW w:w="1108" w:type="dxa"/>
            <w:vMerge w:val="restart"/>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爱心园开园仪式</w:t>
            </w: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主会场区背景及音响</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restart"/>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r>
              <w:rPr>
                <w:rFonts w:asciiTheme="minorEastAsia" w:hAnsiTheme="minorEastAsia" w:eastAsiaTheme="minorEastAsia" w:cstheme="minorEastAsia"/>
                <w:kern w:val="2"/>
                <w:sz w:val="21"/>
                <w:szCs w:val="21"/>
              </w:rPr>
              <w:t>0816</w:t>
            </w:r>
          </w:p>
        </w:tc>
        <w:tc>
          <w:tcPr>
            <w:tcW w:w="900" w:type="dxa"/>
            <w:vMerge w:val="restart"/>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5</w:t>
            </w:r>
            <w:r>
              <w:rPr>
                <w:rFonts w:asciiTheme="minorEastAsia" w:hAnsiTheme="minorEastAsia" w:eastAsiaTheme="minorEastAsia" w:cstheme="minorEastAsia"/>
                <w:kern w:val="2"/>
                <w:sz w:val="21"/>
                <w:szCs w:val="21"/>
              </w:rPr>
              <w:t>0816</w:t>
            </w: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pStyle w:val="5"/>
              <w:rPr>
                <w:rFonts w:asciiTheme="minorEastAsia" w:hAnsiTheme="minorEastAsia" w:eastAsiaTheme="minorEastAsia" w:cstheme="minorEastAsia"/>
                <w:kern w:val="2"/>
                <w:sz w:val="21"/>
                <w:szCs w:val="21"/>
              </w:rPr>
            </w:pP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签到区、拍照打卡区</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pStyle w:val="5"/>
              <w:rPr>
                <w:rFonts w:asciiTheme="minorEastAsia" w:hAnsiTheme="minorEastAsia" w:eastAsiaTheme="minorEastAsia" w:cstheme="minorEastAsia"/>
                <w:kern w:val="2"/>
                <w:sz w:val="21"/>
                <w:szCs w:val="21"/>
              </w:rPr>
            </w:pP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门头区、摊位区、沿途打开点、游戏点布置</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Merge w:val="continue"/>
            <w:vAlign w:val="center"/>
          </w:tcPr>
          <w:p>
            <w:pPr>
              <w:pStyle w:val="5"/>
              <w:rPr>
                <w:rFonts w:asciiTheme="minorEastAsia" w:hAnsiTheme="minorEastAsia" w:eastAsiaTheme="minorEastAsia" w:cstheme="minorEastAsia"/>
                <w:kern w:val="2"/>
                <w:sz w:val="21"/>
                <w:szCs w:val="21"/>
              </w:rPr>
            </w:pPr>
          </w:p>
        </w:tc>
        <w:tc>
          <w:tcPr>
            <w:tcW w:w="1108" w:type="dxa"/>
            <w:vMerge w:val="continue"/>
            <w:vAlign w:val="center"/>
          </w:tcPr>
          <w:p>
            <w:pPr>
              <w:pStyle w:val="5"/>
              <w:rPr>
                <w:rFonts w:asciiTheme="minorEastAsia" w:hAnsiTheme="minorEastAsia" w:eastAsiaTheme="minorEastAsia" w:cstheme="minorEastAsia"/>
                <w:kern w:val="2"/>
                <w:sz w:val="21"/>
                <w:szCs w:val="21"/>
              </w:rPr>
            </w:pPr>
          </w:p>
        </w:tc>
        <w:tc>
          <w:tcPr>
            <w:tcW w:w="2469" w:type="dxa"/>
            <w:gridSpan w:val="2"/>
            <w:vAlign w:val="center"/>
          </w:tcPr>
          <w:p>
            <w:pPr>
              <w:widowControl/>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公里沿途气球、K</w:t>
            </w:r>
            <w:r>
              <w:rPr>
                <w:rFonts w:asciiTheme="minorEastAsia" w:hAnsiTheme="minorEastAsia" w:eastAsiaTheme="minorEastAsia" w:cstheme="minorEastAsia"/>
                <w:szCs w:val="21"/>
              </w:rPr>
              <w:t>T</w:t>
            </w:r>
            <w:r>
              <w:rPr>
                <w:rFonts w:hint="eastAsia" w:asciiTheme="minorEastAsia" w:hAnsiTheme="minorEastAsia" w:eastAsiaTheme="minorEastAsia" w:cstheme="minorEastAsia"/>
                <w:szCs w:val="21"/>
              </w:rPr>
              <w:t>版装饰等物料</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Merge w:val="continue"/>
            <w:vAlign w:val="center"/>
          </w:tcPr>
          <w:p>
            <w:pPr>
              <w:pStyle w:val="5"/>
              <w:rPr>
                <w:rFonts w:asciiTheme="minorEastAsia" w:hAnsiTheme="minorEastAsia" w:eastAsiaTheme="minorEastAsia" w:cstheme="minorEastAsia"/>
                <w:kern w:val="2"/>
                <w:sz w:val="21"/>
                <w:szCs w:val="21"/>
              </w:rPr>
            </w:pPr>
          </w:p>
        </w:tc>
        <w:tc>
          <w:tcPr>
            <w:tcW w:w="900" w:type="dxa"/>
            <w:vMerge w:val="continue"/>
            <w:vAlign w:val="center"/>
          </w:tcPr>
          <w:p>
            <w:pPr>
              <w:pStyle w:val="5"/>
              <w:rPr>
                <w:rFonts w:asciiTheme="minorEastAsia" w:hAnsiTheme="minorEastAsia" w:eastAsiaTheme="minorEastAsia" w:cstheme="minorEastAsia"/>
                <w:kern w:val="2"/>
                <w:sz w:val="21"/>
                <w:szCs w:val="21"/>
              </w:rPr>
            </w:pP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94" w:type="dxa"/>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w:t>
            </w:r>
          </w:p>
        </w:tc>
        <w:tc>
          <w:tcPr>
            <w:tcW w:w="1108" w:type="dxa"/>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无偿献血者日主题晚会</w:t>
            </w:r>
          </w:p>
        </w:tc>
        <w:tc>
          <w:tcPr>
            <w:tcW w:w="2469" w:type="dxa"/>
            <w:gridSpan w:val="2"/>
            <w:vAlign w:val="center"/>
          </w:tcPr>
          <w:p>
            <w:pPr>
              <w:widowControl/>
              <w:jc w:val="left"/>
              <w:textAlignment w:val="center"/>
              <w:rPr>
                <w:rFonts w:hint="eastAsia"/>
              </w:rPr>
            </w:pPr>
            <w:r>
              <w:rPr>
                <w:rFonts w:hint="eastAsia" w:asciiTheme="minorEastAsia" w:hAnsiTheme="minorEastAsia" w:eastAsiaTheme="minorEastAsia" w:cstheme="minorEastAsia"/>
                <w:szCs w:val="21"/>
              </w:rPr>
              <w:t>主题晚会舞台、L</w:t>
            </w:r>
            <w:r>
              <w:rPr>
                <w:rFonts w:asciiTheme="minorEastAsia" w:hAnsiTheme="minorEastAsia" w:eastAsiaTheme="minorEastAsia" w:cstheme="minorEastAsia"/>
                <w:szCs w:val="21"/>
              </w:rPr>
              <w:t>ED</w:t>
            </w:r>
            <w:r>
              <w:rPr>
                <w:rFonts w:hint="eastAsia" w:asciiTheme="minorEastAsia" w:hAnsiTheme="minorEastAsia" w:eastAsiaTheme="minorEastAsia" w:cstheme="minorEastAsia"/>
                <w:szCs w:val="21"/>
              </w:rPr>
              <w:t>、灯光、音响、观众椅、帐篷等物料</w:t>
            </w:r>
          </w:p>
        </w:tc>
        <w:tc>
          <w:tcPr>
            <w:tcW w:w="675"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0" w:type="dxa"/>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w:t>
            </w:r>
          </w:p>
        </w:tc>
        <w:tc>
          <w:tcPr>
            <w:tcW w:w="885" w:type="dxa"/>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r>
              <w:rPr>
                <w:rFonts w:asciiTheme="minorEastAsia" w:hAnsiTheme="minorEastAsia" w:eastAsiaTheme="minorEastAsia" w:cstheme="minorEastAsia"/>
                <w:kern w:val="2"/>
                <w:sz w:val="21"/>
                <w:szCs w:val="21"/>
              </w:rPr>
              <w:t>6106</w:t>
            </w:r>
          </w:p>
        </w:tc>
        <w:tc>
          <w:tcPr>
            <w:tcW w:w="900" w:type="dxa"/>
            <w:vAlign w:val="center"/>
          </w:tcPr>
          <w:p>
            <w:pPr>
              <w:pStyle w:val="5"/>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8</w:t>
            </w:r>
            <w:r>
              <w:rPr>
                <w:rFonts w:asciiTheme="minorEastAsia" w:hAnsiTheme="minorEastAsia" w:eastAsiaTheme="minorEastAsia" w:cstheme="minorEastAsia"/>
                <w:kern w:val="2"/>
                <w:sz w:val="21"/>
                <w:szCs w:val="21"/>
              </w:rPr>
              <w:t>6106</w:t>
            </w:r>
          </w:p>
        </w:tc>
        <w:tc>
          <w:tcPr>
            <w:tcW w:w="3103" w:type="dxa"/>
            <w:vMerge w:val="continue"/>
            <w:vAlign w:val="center"/>
          </w:tcPr>
          <w:p>
            <w:pPr>
              <w:pStyle w:val="5"/>
              <w:rPr>
                <w:rFonts w:asciiTheme="minorEastAsia" w:hAnsiTheme="minorEastAsia" w:eastAsiaTheme="minorEastAsia" w:cs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9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p>
        </w:tc>
        <w:tc>
          <w:tcPr>
            <w:tcW w:w="9920"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ascii="宋体" w:hAnsi="宋体" w:cs="宋体"/>
              </w:rPr>
            </w:pPr>
            <w:r>
              <w:rPr>
                <w:rFonts w:hint="eastAsia" w:ascii="宋体" w:hAnsi="宋体" w:cs="宋体"/>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szCs w:val="21"/>
              </w:rPr>
            </w:pPr>
            <w:r>
              <w:rPr>
                <w:rFonts w:hint="eastAsia" w:ascii="宋体" w:hAnsi="宋体"/>
              </w:rPr>
              <w:t>一、合同签订期</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 xml:space="preserve"> 15</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rPr>
              <w:t>★二、</w:t>
            </w:r>
            <w:r>
              <w:rPr>
                <w:rFonts w:hint="eastAsia" w:ascii="宋体" w:hAnsi="宋体" w:cs="宋体"/>
                <w:color w:val="000000"/>
                <w:szCs w:val="21"/>
              </w:rPr>
              <w:t>服务期限</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宋体" w:hAnsi="宋体"/>
              </w:rPr>
            </w:pPr>
            <w:r>
              <w:rPr>
                <w:rFonts w:hint="eastAsia" w:ascii="宋体" w:hAnsi="宋体" w:cs="宋体"/>
                <w:szCs w:val="21"/>
              </w:rPr>
              <w:t>自合同签订之日起服务起2023年</w:t>
            </w:r>
            <w:r>
              <w:rPr>
                <w:rFonts w:ascii="宋体" w:hAnsi="宋体" w:cs="宋体"/>
                <w:szCs w:val="21"/>
              </w:rPr>
              <w:t>7</w:t>
            </w:r>
            <w:r>
              <w:rPr>
                <w:rFonts w:hint="eastAsia" w:ascii="宋体" w:hAnsi="宋体" w:cs="宋体"/>
                <w:szCs w:val="21"/>
              </w:rPr>
              <w:t>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rPr>
              <w:t>★三、服务要求</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left="210" w:leftChars="100"/>
            </w:pPr>
            <w:r>
              <w:rPr>
                <w:rFonts w:hint="eastAsia"/>
              </w:rPr>
              <w:t>1、中标供应商必须按照采购人确认好的工作方案规定的时限和质量要求完成任务，并办理项目验收手续。</w:t>
            </w:r>
          </w:p>
          <w:p>
            <w:pPr>
              <w:adjustRightInd w:val="0"/>
              <w:snapToGrid w:val="0"/>
              <w:spacing w:line="360" w:lineRule="exact"/>
              <w:ind w:firstLine="210" w:firstLineChars="100"/>
              <w:rPr>
                <w:rFonts w:ascii="宋体" w:hAnsi="宋体" w:cs="宋体"/>
                <w:szCs w:val="21"/>
              </w:rPr>
            </w:pPr>
            <w:r>
              <w:rPr>
                <w:rFonts w:hint="eastAsia" w:ascii="宋体" w:hAnsi="宋体" w:cs="宋体"/>
                <w:szCs w:val="21"/>
              </w:rPr>
              <w:t>2、处理问题响应时间：接到采购人处理问题通知后2个小时内到达采购人指定现场。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color w:val="000000"/>
                <w:szCs w:val="21"/>
              </w:rPr>
            </w:pPr>
            <w:r>
              <w:rPr>
                <w:rFonts w:hint="eastAsia" w:ascii="宋体" w:hAnsi="宋体" w:cs="宋体"/>
                <w:color w:val="000000"/>
                <w:szCs w:val="21"/>
              </w:rPr>
              <w:t>四、付款方式</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asciiTheme="minorEastAsia" w:hAnsiTheme="minorEastAsia" w:eastAsiaTheme="minorEastAsia"/>
                <w:bCs/>
                <w:szCs w:val="20"/>
              </w:rPr>
            </w:pPr>
            <w:r>
              <w:rPr>
                <w:rFonts w:hint="eastAsia"/>
              </w:rPr>
              <w:t>本项目无预付款，</w:t>
            </w:r>
            <w:r>
              <w:rPr>
                <w:rFonts w:hint="eastAsia" w:asciiTheme="minorEastAsia" w:hAnsiTheme="minorEastAsia" w:eastAsiaTheme="minorEastAsia"/>
                <w:bCs/>
                <w:szCs w:val="20"/>
              </w:rPr>
              <w:t>项目完成并经采购人验收合格后，</w:t>
            </w:r>
            <w:r>
              <w:rPr>
                <w:rFonts w:hint="eastAsia"/>
              </w:rPr>
              <w:t>中标供应商开具增值税专用发票给采购人，采购人收到发票后二十个工作日内支付全部合同款。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rPr>
              <w:t>★四、其他要求</w:t>
            </w:r>
          </w:p>
        </w:tc>
        <w:tc>
          <w:tcPr>
            <w:tcW w:w="810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0" w:firstLineChars="100"/>
              <w:rPr>
                <w:rFonts w:ascii="宋体" w:hAnsi="宋体"/>
              </w:rPr>
            </w:pPr>
            <w:r>
              <w:rPr>
                <w:rFonts w:hint="eastAsia" w:ascii="宋体" w:hAnsi="宋体"/>
              </w:rPr>
              <w:t>1、报价必须含以下部分，包括：</w:t>
            </w:r>
          </w:p>
          <w:p>
            <w:pPr>
              <w:rPr>
                <w:rFonts w:ascii="宋体" w:hAnsi="宋体"/>
              </w:rPr>
            </w:pPr>
            <w:r>
              <w:rPr>
                <w:rFonts w:hint="eastAsia" w:ascii="宋体" w:hAnsi="宋体"/>
              </w:rPr>
              <w:t>（1）服务内容所产生的费用；</w:t>
            </w:r>
          </w:p>
          <w:p>
            <w:pPr>
              <w:rPr>
                <w:rFonts w:ascii="宋体" w:hAnsi="宋体"/>
              </w:rPr>
            </w:pPr>
            <w:r>
              <w:rPr>
                <w:rFonts w:hint="eastAsia" w:ascii="宋体" w:hAnsi="宋体"/>
              </w:rPr>
              <w:t>（2）此项目的</w:t>
            </w:r>
            <w:r>
              <w:rPr>
                <w:rFonts w:ascii="宋体" w:hAnsi="宋体"/>
              </w:rPr>
              <w:t>税金等</w:t>
            </w:r>
            <w:r>
              <w:rPr>
                <w:rFonts w:hint="eastAsia" w:ascii="宋体" w:hAnsi="宋体"/>
              </w:rPr>
              <w:t>所有</w:t>
            </w:r>
            <w:r>
              <w:rPr>
                <w:rFonts w:ascii="宋体" w:hAnsi="宋体"/>
              </w:rPr>
              <w:t>费用。</w:t>
            </w:r>
          </w:p>
          <w:p>
            <w:pPr>
              <w:adjustRightInd w:val="0"/>
              <w:snapToGrid w:val="0"/>
              <w:spacing w:line="360" w:lineRule="exact"/>
              <w:ind w:firstLine="210" w:firstLineChars="100"/>
              <w:rPr>
                <w:rFonts w:ascii="宋体" w:hAnsi="宋体" w:cs="宋体"/>
                <w:szCs w:val="21"/>
              </w:rPr>
            </w:pPr>
            <w:r>
              <w:rPr>
                <w:rFonts w:hint="eastAsia"/>
              </w:rPr>
              <w:t>2、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tc>
      </w:tr>
    </w:tbl>
    <w:p>
      <w:pPr>
        <w:pStyle w:val="5"/>
        <w:jc w:val="center"/>
        <w:rPr>
          <w:b/>
          <w:sz w:val="36"/>
        </w:rPr>
      </w:pPr>
    </w:p>
    <w:p>
      <w:pPr>
        <w:rPr>
          <w:rFonts w:hint="eastAsia"/>
          <w:b/>
          <w:sz w:val="36"/>
        </w:rPr>
      </w:pPr>
      <w:r>
        <w:rPr>
          <w:rFonts w:hint="eastAsia"/>
          <w:b/>
          <w:sz w:val="36"/>
        </w:rPr>
        <w:br w:type="page"/>
      </w:r>
    </w:p>
    <w:p>
      <w:pPr>
        <w:pStyle w:val="5"/>
        <w:jc w:val="center"/>
        <w:rPr>
          <w:b/>
          <w:sz w:val="36"/>
        </w:rPr>
      </w:pPr>
      <w:r>
        <w:rPr>
          <w:rFonts w:hint="eastAsia"/>
          <w:b/>
          <w:sz w:val="36"/>
        </w:rPr>
        <w:t>第二章</w:t>
      </w:r>
      <w:r>
        <w:rPr>
          <w:b/>
          <w:sz w:val="36"/>
        </w:rPr>
        <w:t xml:space="preserve"> </w:t>
      </w:r>
      <w:r>
        <w:rPr>
          <w:rFonts w:hint="eastAsia"/>
          <w:b/>
          <w:sz w:val="36"/>
        </w:rPr>
        <w:t>评审方法</w:t>
      </w:r>
    </w:p>
    <w:p>
      <w:pPr>
        <w:pStyle w:val="5"/>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2" w:firstLineChars="200"/>
      </w:pPr>
      <w:r>
        <w:rPr>
          <w:b/>
          <w:bCs/>
        </w:rPr>
        <w:t>评标价</w:t>
      </w:r>
      <w:r>
        <w:rPr>
          <w:rFonts w:hint="eastAsia"/>
          <w:b/>
          <w:bCs/>
        </w:rPr>
        <w:t>政府采购政策性扣除</w:t>
      </w:r>
      <w:r>
        <w:rPr>
          <w:rFonts w:hint="eastAsia"/>
        </w:rPr>
        <w:t>（如属于专门面向中小型企业采购项目，不再进行政策扣除）。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1.评标价为供应商的投标报价进行政策性扣除后的价格，评标价只是作为评审时使用。最终成交供应商的成交金额等于投标报价（如有修正，以确认修正后的投标报价为准）。</w:t>
      </w:r>
    </w:p>
    <w:p>
      <w:pPr>
        <w:spacing w:line="360" w:lineRule="auto"/>
        <w:ind w:firstLine="420" w:firstLineChars="200"/>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政策性扣除计算方法。</w:t>
      </w:r>
    </w:p>
    <w:p>
      <w:pPr>
        <w:spacing w:line="360" w:lineRule="auto"/>
        <w:ind w:firstLine="420" w:firstLineChars="200"/>
        <w:rPr>
          <w:rFonts w:ascii="宋体" w:hAnsi="宋体" w:cs="宋体"/>
          <w:color w:val="000000"/>
        </w:rPr>
      </w:pPr>
      <w:r>
        <w:rPr>
          <w:rFonts w:hint="eastAsia" w:ascii="宋体" w:hAnsi="宋体" w:cs="宋体"/>
          <w:color w:val="000000"/>
          <w:szCs w:val="21"/>
        </w:rPr>
        <w:t>根据《政府采购促进中小企业发展管理办法》（财库〔2020〕46号）的规定，供应商在其响应文件中提供《中小企业声明函》，</w:t>
      </w:r>
      <w:r>
        <w:rPr>
          <w:rFonts w:hint="eastAsia" w:ascii="宋体" w:hAnsi="宋体" w:cs="宋体"/>
          <w:bCs/>
          <w:color w:val="000000"/>
          <w:szCs w:val="21"/>
        </w:rPr>
        <w:t>且其竞标全部货物均由小微企业提供的</w:t>
      </w:r>
      <w:r>
        <w:rPr>
          <w:rFonts w:hint="eastAsia" w:ascii="宋体" w:hAnsi="宋体" w:cs="宋体"/>
          <w:color w:val="000000"/>
          <w:szCs w:val="21"/>
        </w:rPr>
        <w:t>，</w:t>
      </w:r>
      <w:r>
        <w:rPr>
          <w:rFonts w:hint="eastAsia" w:ascii="宋体" w:hAnsi="宋体" w:cs="宋体"/>
          <w:bCs/>
          <w:color w:val="000000"/>
          <w:szCs w:val="21"/>
        </w:rPr>
        <w:t>对供应商的竞标报价给予20%的扣除，扣除后的价格为评标价，即评标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000000"/>
          <w:szCs w:val="21"/>
          <w:u w:val="single"/>
        </w:rPr>
        <w:t xml:space="preserve">4% </w:t>
      </w:r>
      <w:r>
        <w:rPr>
          <w:rFonts w:hint="eastAsia" w:ascii="宋体" w:hAnsi="宋体" w:cs="宋体"/>
          <w:bCs/>
          <w:color w:val="000000"/>
          <w:szCs w:val="21"/>
        </w:rPr>
        <w:t>（范围为4%-6%） 的扣除，用扣除后的价格参加评审，扣除后的价格为评标价，即评标价=竞标报价×（1-</w:t>
      </w:r>
      <w:r>
        <w:rPr>
          <w:rFonts w:hint="eastAsia" w:ascii="宋体" w:hAnsi="宋体" w:cs="宋体"/>
          <w:bCs/>
          <w:color w:val="000000"/>
          <w:szCs w:val="21"/>
          <w:u w:val="single"/>
        </w:rPr>
        <w:t xml:space="preserve">4% </w:t>
      </w:r>
      <w:r>
        <w:rPr>
          <w:rFonts w:hint="eastAsia" w:ascii="宋体" w:hAnsi="宋体" w:cs="宋体"/>
          <w:bCs/>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ascii="宋体" w:hAnsi="宋体" w:cs="宋体"/>
          <w:color w:val="000000"/>
        </w:rPr>
      </w:pPr>
      <w:r>
        <w:rPr>
          <w:rFonts w:hint="eastAsia" w:ascii="宋体" w:hAnsi="宋体" w:cs="宋体"/>
          <w:color w:val="000000"/>
          <w:szCs w:val="21"/>
        </w:rPr>
        <w:t>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pPr>
      <w:r>
        <w:rPr>
          <w:rFonts w:hint="eastAsia" w:ascii="宋体" w:hAnsi="宋体" w:cs="宋体"/>
          <w:color w:val="000000"/>
        </w:rPr>
        <w:t>5.除上述情况外，评标价＝最后报价。</w:t>
      </w:r>
    </w:p>
    <w:p>
      <w:pPr>
        <w:pStyle w:val="10"/>
        <w:tabs>
          <w:tab w:val="left" w:pos="1935"/>
        </w:tabs>
        <w:spacing w:line="400" w:lineRule="exact"/>
        <w:ind w:firstLine="420" w:firstLineChars="200"/>
      </w:pPr>
    </w:p>
    <w:p>
      <w:pPr>
        <w:pStyle w:val="10"/>
        <w:spacing w:line="440" w:lineRule="exact"/>
        <w:rPr>
          <w:rFonts w:ascii="Times New Roman" w:hAnsi="Times New Roman"/>
          <w:b/>
          <w:sz w:val="36"/>
        </w:rPr>
      </w:pPr>
      <w:bookmarkStart w:id="2" w:name="_Toc532545044"/>
    </w:p>
    <w:p>
      <w:pPr>
        <w:pStyle w:val="10"/>
        <w:spacing w:line="440" w:lineRule="exact"/>
        <w:ind w:firstLine="2530" w:firstLineChars="700"/>
        <w:rPr>
          <w:rFonts w:ascii="Times New Roman" w:hAnsi="Times New Roman"/>
          <w:b/>
          <w:sz w:val="36"/>
        </w:rPr>
      </w:pPr>
    </w:p>
    <w:p>
      <w:pPr>
        <w:pStyle w:val="10"/>
        <w:spacing w:line="440" w:lineRule="exact"/>
        <w:ind w:firstLine="2530" w:firstLineChars="700"/>
        <w:rPr>
          <w:rFonts w:hint="eastAsia" w:ascii="Times New Roman" w:hAnsi="Times New Roman"/>
          <w:b/>
          <w:sz w:val="36"/>
        </w:rPr>
      </w:pPr>
    </w:p>
    <w:p>
      <w:pPr>
        <w:pStyle w:val="10"/>
        <w:spacing w:line="440" w:lineRule="exact"/>
        <w:ind w:firstLine="2530" w:firstLineChars="700"/>
        <w:rPr>
          <w:rFonts w:hAnsi="宋体"/>
        </w:rPr>
      </w:pPr>
      <w:bookmarkStart w:id="6" w:name="_GoBack"/>
      <w:bookmarkEnd w:id="6"/>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b/>
          <w:szCs w:val="21"/>
        </w:rPr>
      </w:pPr>
      <w:bookmarkStart w:id="4" w:name="_Toc254970677"/>
      <w:bookmarkStart w:id="5" w:name="_Toc254970536"/>
      <w:r>
        <w:rPr>
          <w:rFonts w:hint="eastAsia" w:ascii="宋体" w:hAnsi="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b/>
          <w:szCs w:val="21"/>
        </w:rPr>
      </w:pPr>
      <w:r>
        <w:rPr>
          <w:rFonts w:hint="eastAsia" w:ascii="宋体" w:hAnsi="宋体"/>
          <w:szCs w:val="21"/>
        </w:rPr>
        <w:t>投标文件由商务文件、投标报价、技术文件文件组成。</w:t>
      </w:r>
    </w:p>
    <w:p>
      <w:pPr>
        <w:spacing w:line="360" w:lineRule="auto"/>
        <w:ind w:left="141" w:leftChars="67"/>
        <w:rPr>
          <w:rFonts w:ascii="宋体" w:hAnsi="宋体"/>
          <w:b/>
          <w:szCs w:val="21"/>
        </w:rPr>
      </w:pPr>
      <w:r>
        <w:rPr>
          <w:rFonts w:hint="eastAsia" w:ascii="宋体" w:hAnsi="宋体"/>
          <w:b/>
          <w:szCs w:val="21"/>
        </w:rPr>
        <w:t>1.</w:t>
      </w:r>
      <w:r>
        <w:rPr>
          <w:rFonts w:hint="eastAsia"/>
        </w:rPr>
        <w:t xml:space="preserve"> </w:t>
      </w:r>
      <w:r>
        <w:rPr>
          <w:rFonts w:hint="eastAsia" w:ascii="宋体" w:hAnsi="宋体"/>
          <w:b/>
          <w:szCs w:val="21"/>
        </w:rPr>
        <w:t>商务文件（必须提供）</w:t>
      </w:r>
    </w:p>
    <w:p>
      <w:pPr>
        <w:pStyle w:val="10"/>
        <w:snapToGrid w:val="0"/>
        <w:spacing w:line="360" w:lineRule="auto"/>
        <w:ind w:firstLine="308" w:firstLineChars="147"/>
        <w:rPr>
          <w:rFonts w:hAnsi="宋体"/>
          <w:bCs/>
        </w:rPr>
      </w:pPr>
      <w:r>
        <w:rPr>
          <w:rFonts w:hint="eastAsia" w:hAnsi="宋体"/>
          <w:bCs/>
        </w:rPr>
        <w:t>（1）法人或者其他组织的营业执照等证明文件复印件，（投标人属自然人的提供自然人的身份证明）；</w:t>
      </w:r>
    </w:p>
    <w:p>
      <w:pPr>
        <w:pStyle w:val="10"/>
        <w:snapToGrid w:val="0"/>
        <w:spacing w:line="360" w:lineRule="auto"/>
        <w:ind w:firstLine="308" w:firstLineChars="147"/>
        <w:rPr>
          <w:rFonts w:hAnsi="宋体"/>
          <w:bCs/>
        </w:rPr>
      </w:pPr>
      <w:r>
        <w:rPr>
          <w:rFonts w:hint="eastAsia" w:hAnsi="宋体"/>
          <w:bCs/>
        </w:rPr>
        <w:t>注：</w:t>
      </w:r>
      <w:r>
        <w:rPr>
          <w:rFonts w:hAnsi="宋体"/>
          <w:bCs/>
        </w:rPr>
        <w:fldChar w:fldCharType="begin"/>
      </w:r>
      <w:r>
        <w:rPr>
          <w:rFonts w:hAnsi="宋体"/>
          <w:bCs/>
        </w:rPr>
        <w:instrText xml:space="preserve"> </w:instrText>
      </w:r>
      <w:r>
        <w:rPr>
          <w:rFonts w:hint="eastAsia" w:hAnsi="宋体"/>
          <w:bCs/>
        </w:rPr>
        <w:instrText xml:space="preserve">eq \o\ac(○,1)</w:instrText>
      </w:r>
      <w:r>
        <w:rPr>
          <w:rFonts w:hAnsi="宋体"/>
          <w:bCs/>
        </w:rPr>
        <w:fldChar w:fldCharType="end"/>
      </w:r>
      <w:r>
        <w:rPr>
          <w:rFonts w:hint="eastAsia" w:hAnsi="宋体"/>
          <w:bCs/>
        </w:rPr>
        <w:t>法人包括企业法人、机关法人和社会团体法人；其他组织主要包括合伙企业、非企业专业服务机构、个体工商户、农村承包经营户。</w:t>
      </w:r>
      <w:r>
        <w:rPr>
          <w:rFonts w:hAnsi="宋体"/>
          <w:bCs/>
        </w:rPr>
        <w:fldChar w:fldCharType="begin"/>
      </w:r>
      <w:r>
        <w:rPr>
          <w:rFonts w:hAnsi="宋体"/>
          <w:bCs/>
        </w:rPr>
        <w:instrText xml:space="preserve"> </w:instrText>
      </w:r>
      <w:r>
        <w:rPr>
          <w:rFonts w:hint="eastAsia" w:hAnsi="宋体"/>
          <w:bCs/>
        </w:rPr>
        <w:instrText xml:space="preserve">eq \o\ac(○,2)</w:instrText>
      </w:r>
      <w:r>
        <w:rPr>
          <w:rFonts w:hAnsi="宋体"/>
          <w:bCs/>
        </w:rPr>
        <w:fldChar w:fldCharType="end"/>
      </w:r>
      <w:r>
        <w:rPr>
          <w:rFonts w:hint="eastAsia" w:hAnsi="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hAnsi="宋体"/>
          <w:bCs/>
        </w:rPr>
      </w:pPr>
      <w:r>
        <w:rPr>
          <w:rFonts w:hint="eastAsia" w:hAnsi="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szCs w:val="21"/>
        </w:rPr>
      </w:pPr>
      <w:r>
        <w:rPr>
          <w:rFonts w:hint="eastAsia" w:ascii="宋体" w:hAnsi="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szCs w:val="21"/>
        </w:rPr>
        <w:t>（4）法定代表人身份证明书、相应的法定代表人身份证正反两面复印件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b/>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firstLine="210" w:firstLineChars="100"/>
      </w:pPr>
      <w:r>
        <w:rPr>
          <w:rFonts w:hint="eastAsia" w:ascii="宋体" w:hAnsi="宋体"/>
          <w:szCs w:val="21"/>
        </w:rPr>
        <w:t>（6）中小企业声明函</w:t>
      </w:r>
      <w:r>
        <w:rPr>
          <w:rFonts w:hint="eastAsia" w:ascii="宋体" w:hAnsi="宋体"/>
          <w:b/>
          <w:bCs/>
          <w:szCs w:val="21"/>
        </w:rPr>
        <w:t>（如有请提供）</w:t>
      </w:r>
    </w:p>
    <w:p>
      <w:pPr>
        <w:spacing w:line="360" w:lineRule="auto"/>
        <w:ind w:left="141" w:leftChars="67"/>
        <w:rPr>
          <w:rFonts w:ascii="宋体" w:hAnsi="宋体"/>
          <w:b/>
          <w:szCs w:val="21"/>
        </w:rPr>
      </w:pPr>
      <w:r>
        <w:rPr>
          <w:rFonts w:hint="eastAsia" w:ascii="宋体" w:hAnsi="宋体"/>
          <w:b/>
          <w:szCs w:val="21"/>
        </w:rPr>
        <w:t>2.报价文件（必须提供）</w:t>
      </w:r>
    </w:p>
    <w:p>
      <w:pPr>
        <w:spacing w:line="360" w:lineRule="auto"/>
        <w:ind w:left="141" w:leftChars="67"/>
        <w:rPr>
          <w:rFonts w:ascii="宋体" w:hAnsi="宋体"/>
          <w:szCs w:val="21"/>
        </w:rPr>
      </w:pPr>
      <w:r>
        <w:rPr>
          <w:rFonts w:hint="eastAsia" w:ascii="宋体" w:hAnsi="宋体"/>
          <w:szCs w:val="21"/>
        </w:rPr>
        <w:t>(1)投标函(格式见附件)；</w:t>
      </w:r>
    </w:p>
    <w:p>
      <w:pPr>
        <w:spacing w:line="360" w:lineRule="auto"/>
        <w:ind w:left="141" w:leftChars="67"/>
        <w:rPr>
          <w:rFonts w:ascii="宋体" w:hAnsi="宋体"/>
          <w:szCs w:val="21"/>
        </w:rPr>
      </w:pPr>
      <w:r>
        <w:rPr>
          <w:rFonts w:hint="eastAsia" w:ascii="宋体" w:hAnsi="宋体"/>
          <w:szCs w:val="21"/>
        </w:rPr>
        <w:t>(2)投标报价明细表(格式见附件)；</w:t>
      </w:r>
    </w:p>
    <w:p>
      <w:pPr>
        <w:pStyle w:val="5"/>
        <w:ind w:firstLine="210" w:firstLineChars="100"/>
        <w:rPr>
          <w:rFonts w:ascii="宋体" w:hAnsi="宋体"/>
          <w:b/>
          <w:kern w:val="2"/>
          <w:sz w:val="21"/>
          <w:szCs w:val="21"/>
        </w:rPr>
      </w:pPr>
      <w:r>
        <w:rPr>
          <w:rFonts w:hint="eastAsia" w:ascii="宋体" w:hAnsi="宋体"/>
          <w:kern w:val="2"/>
          <w:sz w:val="21"/>
          <w:szCs w:val="21"/>
        </w:rPr>
        <w:t>(3)投标人针对报价需要说明的其他文件和说明(格式自拟)。</w:t>
      </w:r>
    </w:p>
    <w:p>
      <w:pPr>
        <w:pStyle w:val="5"/>
        <w:rPr>
          <w:rFonts w:ascii="宋体" w:hAnsi="宋体"/>
          <w:b/>
          <w:kern w:val="2"/>
          <w:sz w:val="21"/>
          <w:szCs w:val="21"/>
        </w:rPr>
      </w:pPr>
      <w:r>
        <w:rPr>
          <w:rFonts w:hint="eastAsia" w:ascii="宋体" w:hAnsi="宋体"/>
          <w:b/>
          <w:kern w:val="2"/>
          <w:sz w:val="21"/>
          <w:szCs w:val="21"/>
        </w:rPr>
        <w:t>3.技术文件</w:t>
      </w:r>
    </w:p>
    <w:p>
      <w:pPr>
        <w:pStyle w:val="5"/>
        <w:ind w:firstLine="210" w:firstLineChars="100"/>
        <w:rPr>
          <w:rFonts w:ascii="宋体" w:hAnsi="宋体"/>
          <w:kern w:val="2"/>
          <w:sz w:val="21"/>
          <w:szCs w:val="21"/>
        </w:rPr>
      </w:pPr>
      <w:r>
        <w:rPr>
          <w:rFonts w:hint="eastAsia" w:ascii="宋体" w:hAnsi="宋体"/>
          <w:kern w:val="2"/>
          <w:sz w:val="21"/>
          <w:szCs w:val="21"/>
        </w:rPr>
        <w:t>1.技术需求偏离表(格式见附件)</w:t>
      </w:r>
    </w:p>
    <w:p>
      <w:pPr>
        <w:pStyle w:val="5"/>
        <w:ind w:firstLine="210" w:firstLineChars="100"/>
        <w:rPr>
          <w:rFonts w:ascii="宋体" w:hAnsi="宋体"/>
          <w:kern w:val="2"/>
          <w:sz w:val="21"/>
          <w:szCs w:val="21"/>
        </w:rPr>
      </w:pPr>
      <w:r>
        <w:rPr>
          <w:rFonts w:hint="eastAsia" w:ascii="宋体" w:hAnsi="宋体"/>
          <w:kern w:val="2"/>
          <w:sz w:val="21"/>
          <w:szCs w:val="21"/>
        </w:rPr>
        <w:t>2.项目实施方案（格式自拟）</w:t>
      </w:r>
    </w:p>
    <w:p>
      <w:pPr>
        <w:pStyle w:val="6"/>
        <w:ind w:firstLine="210" w:firstLineChars="100"/>
      </w:pPr>
      <w:r>
        <w:rPr>
          <w:rFonts w:hint="eastAsia" w:hAnsi="宋体"/>
          <w:kern w:val="2"/>
          <w:sz w:val="21"/>
          <w:szCs w:val="21"/>
        </w:rPr>
        <w:t>3.售后服务（格式自拟）</w:t>
      </w:r>
    </w:p>
    <w:p>
      <w:pPr>
        <w:pStyle w:val="6"/>
      </w:pPr>
      <w:r>
        <w:rPr>
          <w:rFonts w:hint="eastAsia" w:hAnsi="宋体" w:cs="Times New Roman"/>
          <w:kern w:val="2"/>
          <w:sz w:val="21"/>
          <w:szCs w:val="21"/>
        </w:rPr>
        <w:t xml:space="preserve">  4.质量保证服务承诺书（格式自拟）</w:t>
      </w:r>
    </w:p>
    <w:p>
      <w:pPr>
        <w:snapToGrid w:val="0"/>
        <w:spacing w:line="380" w:lineRule="exact"/>
        <w:ind w:firstLine="210" w:firstLineChars="100"/>
        <w:jc w:val="left"/>
        <w:rPr>
          <w:rFonts w:ascii="宋体" w:hAnsi="宋体"/>
          <w:szCs w:val="21"/>
        </w:rPr>
      </w:pPr>
      <w:r>
        <w:rPr>
          <w:rFonts w:hint="eastAsia" w:ascii="宋体" w:hAnsi="宋体"/>
          <w:szCs w:val="21"/>
        </w:rPr>
        <w:t>5.除招标文件规定必须提供以外，投标人需要说明的其他文件和说明（格式自拟）。</w:t>
      </w:r>
    </w:p>
    <w:p>
      <w:pPr>
        <w:pStyle w:val="5"/>
        <w:rPr>
          <w:rFonts w:ascii="宋体" w:hAnsi="宋体"/>
          <w:szCs w:val="21"/>
        </w:rPr>
      </w:pPr>
    </w:p>
    <w:p>
      <w:pPr>
        <w:spacing w:line="360" w:lineRule="auto"/>
        <w:ind w:left="141" w:leftChars="67"/>
        <w:rPr>
          <w:rFonts w:ascii="宋体" w:hAnsi="宋体"/>
          <w:b/>
          <w:sz w:val="24"/>
        </w:rPr>
      </w:pPr>
      <w:r>
        <w:rPr>
          <w:rFonts w:hint="eastAsia" w:ascii="宋体" w:hAnsi="宋体" w:cs="宋体"/>
          <w:b/>
          <w:szCs w:val="21"/>
        </w:rPr>
        <w:t>★</w:t>
      </w:r>
      <w:r>
        <w:rPr>
          <w:rFonts w:hint="eastAsia" w:ascii="宋体" w:hAnsi="宋体"/>
          <w:b/>
          <w:szCs w:val="21"/>
        </w:rPr>
        <w:t>注:法定代表人授权委托书必须由法定代表人签名并加盖单位公章；报价文件必须由法定代表人或授权代表签名并加盖单位公章。</w:t>
      </w:r>
    </w:p>
    <w:p>
      <w:pPr>
        <w:widowControl/>
        <w:jc w:val="left"/>
        <w:rPr>
          <w:rFonts w:ascii="宋体" w:hAnsi="宋体"/>
          <w:b/>
          <w:sz w:val="24"/>
        </w:rPr>
      </w:pPr>
    </w:p>
    <w:p>
      <w:pPr>
        <w:widowControl/>
        <w:jc w:val="left"/>
        <w:rPr>
          <w:rFonts w:ascii="宋体" w:hAnsi="宋体"/>
          <w:b/>
          <w:sz w:val="24"/>
        </w:rPr>
      </w:pPr>
    </w:p>
    <w:p>
      <w:pPr>
        <w:widowControl/>
        <w:jc w:val="left"/>
        <w:rPr>
          <w:rFonts w:ascii="宋体" w:hAnsi="宋体"/>
          <w:b/>
          <w:sz w:val="24"/>
        </w:rPr>
      </w:pPr>
    </w:p>
    <w:p>
      <w:pPr>
        <w:widowControl/>
        <w:jc w:val="left"/>
        <w:rPr>
          <w:rFonts w:ascii="宋体" w:hAnsi="宋体"/>
          <w:b/>
          <w:sz w:val="24"/>
        </w:rPr>
      </w:pPr>
    </w:p>
    <w:p>
      <w:pPr>
        <w:widowControl/>
        <w:jc w:val="left"/>
        <w:rPr>
          <w:rFonts w:ascii="宋体" w:hAnsi="宋体"/>
          <w:b/>
          <w:sz w:val="32"/>
          <w:szCs w:val="32"/>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5"/>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18"/>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6"/>
      </w:pPr>
    </w:p>
    <w:p>
      <w:pPr>
        <w:pStyle w:val="3"/>
      </w:pPr>
    </w:p>
    <w:p/>
    <w:p>
      <w:pPr>
        <w:pStyle w:val="10"/>
        <w:spacing w:line="500" w:lineRule="exact"/>
        <w:jc w:val="center"/>
        <w:rPr>
          <w:rFonts w:ascii="Times New Roman" w:hAnsi="Times New Roman"/>
          <w:b/>
          <w:sz w:val="30"/>
          <w:szCs w:val="30"/>
        </w:rPr>
      </w:pPr>
    </w:p>
    <w:p>
      <w:pPr>
        <w:pStyle w:val="10"/>
        <w:spacing w:line="500" w:lineRule="exact"/>
        <w:jc w:val="center"/>
        <w:rPr>
          <w:rFonts w:ascii="Times New Roman"/>
          <w:b/>
          <w:sz w:val="30"/>
          <w:szCs w:val="30"/>
        </w:rPr>
      </w:pPr>
      <w:r>
        <w:rPr>
          <w:rFonts w:hint="eastAsia" w:ascii="Times New Roman" w:hAnsi="Times New Roman"/>
          <w:b/>
          <w:sz w:val="30"/>
          <w:szCs w:val="30"/>
        </w:rPr>
        <w:t>投标服务技术需求偏离表</w:t>
      </w:r>
    </w:p>
    <w:p>
      <w:pPr>
        <w:pStyle w:val="10"/>
        <w:spacing w:line="440" w:lineRule="exact"/>
        <w:ind w:firstLine="420" w:firstLineChars="200"/>
      </w:pPr>
    </w:p>
    <w:p>
      <w:pPr>
        <w:pStyle w:val="10"/>
        <w:spacing w:line="600" w:lineRule="exact"/>
        <w:ind w:firstLine="480" w:firstLineChars="200"/>
        <w:rPr>
          <w:rFonts w:hAnsi="宋体"/>
          <w:sz w:val="24"/>
          <w:szCs w:val="24"/>
        </w:rPr>
      </w:pPr>
      <w:r>
        <w:rPr>
          <w:rFonts w:hint="eastAsia" w:hAnsi="宋体"/>
          <w:sz w:val="24"/>
          <w:szCs w:val="24"/>
        </w:rPr>
        <w:t>请根据所投服务的实际技术参数，</w:t>
      </w:r>
      <w:r>
        <w:rPr>
          <w:rFonts w:hint="eastAsia" w:hAnsi="宋体"/>
          <w:b/>
          <w:sz w:val="28"/>
          <w:szCs w:val="28"/>
        </w:rPr>
        <w:t>逐条对应</w:t>
      </w:r>
      <w:r>
        <w:rPr>
          <w:rFonts w:hint="eastAsia" w:hAnsi="宋体"/>
          <w:sz w:val="24"/>
          <w:szCs w:val="24"/>
        </w:rPr>
        <w:t>本项目招标文件第一章“服务需求一览表”中的</w:t>
      </w:r>
      <w:r>
        <w:rPr>
          <w:rFonts w:hint="eastAsia" w:hAnsi="宋体"/>
          <w:b/>
          <w:sz w:val="28"/>
          <w:szCs w:val="28"/>
        </w:rPr>
        <w:t>采购清单及服务参数</w:t>
      </w:r>
      <w:r>
        <w:rPr>
          <w:rFonts w:hint="eastAsia" w:hAnsi="宋体"/>
          <w:sz w:val="24"/>
          <w:szCs w:val="24"/>
        </w:rPr>
        <w:t>详细填写相应的具体内容。“偏离说明”一栏应当选择“正偏离”、“负偏离”或“无偏离”进行填写。</w:t>
      </w:r>
    </w:p>
    <w:tbl>
      <w:tblPr>
        <w:tblStyle w:val="15"/>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cs="宋体"/>
                <w:szCs w:val="21"/>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服务名称</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服务参数</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服务名称</w:t>
            </w: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szCs w:val="21"/>
              </w:rPr>
            </w:pPr>
            <w:r>
              <w:rPr>
                <w:rFonts w:hint="eastAsia" w:ascii="宋体" w:hAnsi="宋体" w:cs="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1  ……</w:t>
            </w:r>
          </w:p>
          <w:p>
            <w:pPr>
              <w:rPr>
                <w:rFonts w:cs="宋体"/>
                <w:szCs w:val="21"/>
              </w:rPr>
            </w:pPr>
            <w:r>
              <w:rPr>
                <w:rFonts w:hint="eastAsia" w:ascii="宋体" w:hAnsi="宋体" w:cs="宋体"/>
                <w:szCs w:val="21"/>
              </w:rPr>
              <w:t>2  ……</w:t>
            </w:r>
          </w:p>
          <w:p>
            <w:pPr>
              <w:rPr>
                <w:rFonts w:cs="宋体"/>
                <w:szCs w:val="21"/>
              </w:rPr>
            </w:pPr>
            <w:r>
              <w:rPr>
                <w:rFonts w:hint="eastAsia" w:ascii="宋体" w:hAnsi="宋体" w:cs="宋体"/>
                <w:szCs w:val="21"/>
              </w:rPr>
              <w:t>3  ……</w:t>
            </w:r>
          </w:p>
          <w:p>
            <w:pPr>
              <w:rPr>
                <w:rFonts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cs="宋体"/>
                <w:szCs w:val="21"/>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3297"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c>
          <w:tcPr>
            <w:tcW w:w="1168" w:type="dxa"/>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l2br w:val="nil"/>
              <w:tr2bl w:val="nil"/>
            </w:tcBorders>
            <w:vAlign w:val="center"/>
          </w:tcPr>
          <w:p>
            <w:pPr>
              <w:rPr>
                <w:rFonts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pPr>
        <w:pStyle w:val="10"/>
        <w:spacing w:line="360" w:lineRule="auto"/>
        <w:rPr>
          <w:rFonts w:hAnsi="宋体"/>
          <w:szCs w:val="21"/>
        </w:rPr>
      </w:pPr>
      <w:r>
        <w:rPr>
          <w:rFonts w:hint="eastAsia" w:hAnsi="宋体"/>
          <w:szCs w:val="21"/>
        </w:rPr>
        <w:t>注：</w:t>
      </w:r>
    </w:p>
    <w:p>
      <w:pPr>
        <w:pStyle w:val="10"/>
        <w:spacing w:line="360" w:lineRule="auto"/>
        <w:rPr>
          <w:rFonts w:hAnsi="宋体"/>
          <w:szCs w:val="21"/>
        </w:rPr>
      </w:pPr>
      <w:r>
        <w:rPr>
          <w:rFonts w:hint="eastAsia" w:hAnsi="宋体" w:cs="宋体"/>
          <w:szCs w:val="21"/>
        </w:rPr>
        <w:t>1.</w:t>
      </w:r>
      <w:r>
        <w:rPr>
          <w:rFonts w:hint="eastAsia" w:hAnsi="宋体"/>
          <w:szCs w:val="21"/>
        </w:rPr>
        <w:t>表格内容均需按要求填写并盖章，不得留空，否则按投标无效处理。</w:t>
      </w:r>
    </w:p>
    <w:p>
      <w:pPr>
        <w:pStyle w:val="10"/>
        <w:spacing w:line="360" w:lineRule="auto"/>
        <w:rPr>
          <w:rFonts w:hAnsi="宋体"/>
          <w:szCs w:val="21"/>
        </w:rPr>
      </w:pPr>
      <w:r>
        <w:rPr>
          <w:rFonts w:hint="eastAsia" w:hAnsi="宋体"/>
          <w:szCs w:val="21"/>
        </w:rPr>
        <w:t>2.当投标文件的服务内容低于招标文件要求时，投标人应当如实写明“负偏离”，否则视为虚假应标。</w:t>
      </w:r>
    </w:p>
    <w:p>
      <w:pPr>
        <w:pStyle w:val="10"/>
        <w:spacing w:line="360" w:lineRule="auto"/>
      </w:pPr>
      <w:r>
        <w:rPr>
          <w:rFonts w:hint="eastAsia"/>
        </w:rPr>
        <w:t>3.</w:t>
      </w:r>
      <w:r>
        <w:rPr>
          <w:rFonts w:hint="eastAsia" w:hAnsi="宋体" w:cs="宋体"/>
          <w:szCs w:val="21"/>
        </w:rPr>
        <w:t>采购需求中带“★”的条款，也要分别在本表“</w:t>
      </w:r>
      <w:r>
        <w:rPr>
          <w:rFonts w:hint="eastAsia" w:hAnsi="宋体"/>
          <w:szCs w:val="21"/>
        </w:rPr>
        <w:t>服务参数</w:t>
      </w:r>
      <w:r>
        <w:rPr>
          <w:rFonts w:hint="eastAsia" w:hAnsi="宋体" w:cs="宋体"/>
          <w:szCs w:val="21"/>
        </w:rPr>
        <w:t>”、“</w:t>
      </w:r>
      <w:r>
        <w:rPr>
          <w:rFonts w:hint="eastAsia" w:hAnsi="宋体"/>
          <w:szCs w:val="21"/>
        </w:rPr>
        <w:t>所提供服务的内容</w:t>
      </w:r>
      <w:r>
        <w:rPr>
          <w:rFonts w:hint="eastAsia" w:hAnsi="宋体" w:cs="宋体"/>
          <w:szCs w:val="21"/>
        </w:rPr>
        <w:t>”中标记。</w:t>
      </w:r>
    </w:p>
    <w:p>
      <w:pPr>
        <w:snapToGrid w:val="0"/>
        <w:spacing w:line="360" w:lineRule="auto"/>
        <w:ind w:firstLine="5640" w:firstLineChars="2350"/>
        <w:rPr>
          <w:rFonts w:ascii="仿宋_GB2312" w:hAnsi="仿宋" w:eastAsia="仿宋_GB2312" w:cs="仿宋_GB2312"/>
          <w:kern w:val="0"/>
          <w:sz w:val="24"/>
          <w:lang w:val="zh-CN"/>
        </w:rPr>
      </w:pPr>
    </w:p>
    <w:p>
      <w:pPr>
        <w:spacing w:line="360" w:lineRule="auto"/>
        <w:ind w:firstLine="3780" w:firstLineChars="1800"/>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pacing w:line="360" w:lineRule="auto"/>
        <w:ind w:firstLine="5040" w:firstLineChars="2400"/>
        <w:rPr>
          <w:rFonts w:asciiTheme="minorEastAsia" w:hAnsiTheme="minorEastAsia" w:eastAsiaTheme="minorEastAsia"/>
          <w:szCs w:val="21"/>
        </w:rPr>
        <w:sectPr>
          <w:pgSz w:w="11906" w:h="16838"/>
          <w:pgMar w:top="1134" w:right="1134" w:bottom="1134" w:left="1134" w:header="720" w:footer="720" w:gutter="0"/>
          <w:cols w:space="720" w:num="1"/>
          <w:docGrid w:type="lines" w:linePitch="331" w:charSpace="0"/>
        </w:sectPr>
      </w:pPr>
      <w:r>
        <w:rPr>
          <w:rFonts w:hint="eastAsia" w:asciiTheme="minorEastAsia" w:hAnsiTheme="minorEastAsia" w:eastAsiaTheme="minorEastAsia"/>
          <w:szCs w:val="21"/>
          <w:lang w:val="zh-CN"/>
        </w:rPr>
        <w:t>日期</w:t>
      </w:r>
      <w:r>
        <w:rPr>
          <w:rFonts w:hint="eastAsia" w:asciiTheme="minorEastAsia" w:hAnsiTheme="minorEastAsia" w:eastAsiaTheme="minorEastAsia"/>
          <w:szCs w:val="21"/>
        </w:rPr>
        <w:t xml:space="preserve">：  年  </w:t>
      </w:r>
      <w:r>
        <w:rPr>
          <w:rFonts w:hint="eastAsia" w:asciiTheme="minorEastAsia" w:hAnsiTheme="minorEastAsia" w:eastAsiaTheme="minorEastAsia"/>
          <w:szCs w:val="21"/>
          <w:lang w:val="zh-CN"/>
        </w:rPr>
        <w:t>月</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日</w:t>
      </w:r>
    </w:p>
    <w:p>
      <w:pPr>
        <w:pStyle w:val="10"/>
        <w:ind w:firstLine="3313" w:firstLineChars="1100"/>
        <w:rPr>
          <w:rFonts w:hint="default" w:ascii="Times New Roman" w:hAnsi="Times New Roman" w:eastAsia="宋体"/>
          <w:b/>
          <w:sz w:val="30"/>
          <w:szCs w:val="30"/>
          <w:lang w:val="en-US" w:eastAsia="zh-CN"/>
        </w:rPr>
      </w:pPr>
      <w:r>
        <w:rPr>
          <w:rFonts w:ascii="Times New Roman" w:hAnsi="Times New Roman"/>
          <w:b/>
          <w:sz w:val="30"/>
          <w:szCs w:val="30"/>
        </w:rPr>
        <w:t>中小企业声明函</w:t>
      </w:r>
    </w:p>
    <w:p>
      <w:pPr>
        <w:pStyle w:val="7"/>
        <w:spacing w:line="240" w:lineRule="auto"/>
        <w:ind w:firstLine="0"/>
        <w:rPr>
          <w:rFonts w:ascii="Times New Roman" w:hAnsi="Times New Roman"/>
          <w:sz w:val="21"/>
          <w:szCs w:val="21"/>
        </w:rPr>
      </w:pPr>
      <w:r>
        <w:rPr>
          <w:rFonts w:ascii="Times New Roman" w:hAnsi="Times New Roman"/>
          <w:sz w:val="21"/>
          <w:szCs w:val="21"/>
        </w:rPr>
        <w:t>说明：</w:t>
      </w:r>
    </w:p>
    <w:p>
      <w:pPr>
        <w:pStyle w:val="7"/>
        <w:spacing w:line="240" w:lineRule="auto"/>
        <w:ind w:firstLine="404" w:firstLineChars="200"/>
        <w:rPr>
          <w:rFonts w:ascii="Times New Roman" w:hAnsi="Times New Roman"/>
          <w:sz w:val="21"/>
          <w:szCs w:val="21"/>
        </w:rPr>
      </w:pPr>
      <w:r>
        <w:rPr>
          <w:rFonts w:ascii="Times New Roman" w:hAnsi="Times New Roman"/>
          <w:sz w:val="21"/>
          <w:szCs w:val="21"/>
        </w:rPr>
        <w:t>1、本声明函主要供参加政府采购活动的中小企业填写，非中小企业无需填写。</w:t>
      </w:r>
    </w:p>
    <w:p>
      <w:pPr>
        <w:pStyle w:val="7"/>
        <w:spacing w:line="240" w:lineRule="auto"/>
        <w:ind w:firstLine="404" w:firstLineChars="200"/>
        <w:rPr>
          <w:rFonts w:ascii="Times New Roman" w:hAnsi="Times New Roman"/>
          <w:sz w:val="21"/>
          <w:szCs w:val="21"/>
        </w:rPr>
      </w:pPr>
      <w:r>
        <w:rPr>
          <w:rFonts w:ascii="Times New Roman" w:hAnsi="Times New Roman"/>
          <w:sz w:val="21"/>
          <w:szCs w:val="21"/>
        </w:rPr>
        <w:t>2、小型、微型企业提供中型企业提供的服务的，视同为中型企业。</w:t>
      </w:r>
    </w:p>
    <w:p>
      <w:pPr>
        <w:pStyle w:val="7"/>
        <w:spacing w:line="240" w:lineRule="auto"/>
        <w:ind w:firstLine="404" w:firstLineChars="200"/>
        <w:rPr>
          <w:rFonts w:ascii="Times New Roman" w:hAnsi="Times New Roman"/>
          <w:sz w:val="21"/>
          <w:szCs w:val="21"/>
        </w:rPr>
      </w:pPr>
    </w:p>
    <w:p>
      <w:pPr>
        <w:pStyle w:val="5"/>
        <w:spacing w:line="500" w:lineRule="exact"/>
        <w:ind w:right="142" w:firstLine="480" w:firstLineChars="200"/>
      </w:pPr>
      <w:r>
        <w:t>本公司郑重声明，根据《政府采购促进中小企业发展管理办法》（财库﹝2020﹞46号）的规定，本公司参加</w:t>
      </w:r>
      <w:r>
        <w:rPr>
          <w:rFonts w:hint="eastAsia"/>
          <w:u w:val="single"/>
        </w:rPr>
        <w:t xml:space="preserve">           </w:t>
      </w:r>
      <w:r>
        <w:t>的</w:t>
      </w:r>
      <w:r>
        <w:rPr>
          <w:rFonts w:hint="eastAsia"/>
          <w:u w:val="single"/>
        </w:rPr>
        <w:t xml:space="preserve">                      </w:t>
      </w:r>
      <w: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szCs w:val="21"/>
        </w:rPr>
      </w:pPr>
      <w:r>
        <w:rPr>
          <w:szCs w:val="21"/>
          <w:u w:val="single"/>
        </w:rPr>
        <w:t>（标的名称）</w:t>
      </w:r>
      <w:r>
        <w:rPr>
          <w:szCs w:val="21"/>
        </w:rPr>
        <w:t>，属于</w:t>
      </w:r>
      <w:r>
        <w:rPr>
          <w:szCs w:val="21"/>
          <w:u w:val="single"/>
        </w:rPr>
        <w:t>（采购文件中明确的所属行业）</w:t>
      </w:r>
      <w:r>
        <w:rPr>
          <w:szCs w:val="21"/>
        </w:rPr>
        <w:t>；承接企业为</w:t>
      </w:r>
      <w:r>
        <w:rPr>
          <w:szCs w:val="21"/>
          <w:u w:val="single"/>
        </w:rPr>
        <w:t>（企业名称）</w:t>
      </w:r>
      <w:r>
        <w:rPr>
          <w:szCs w:val="21"/>
        </w:rPr>
        <w:t>，从业人员</w:t>
      </w:r>
      <w:r>
        <w:rPr>
          <w:szCs w:val="21"/>
          <w:u w:val="single"/>
        </w:rPr>
        <w:t xml:space="preserve">      </w:t>
      </w:r>
      <w:r>
        <w:rPr>
          <w:szCs w:val="21"/>
        </w:rPr>
        <w:t>人，营业收入为</w:t>
      </w:r>
      <w:r>
        <w:rPr>
          <w:szCs w:val="21"/>
          <w:u w:val="single"/>
        </w:rPr>
        <w:t xml:space="preserve">      </w:t>
      </w:r>
      <w:r>
        <w:rPr>
          <w:szCs w:val="21"/>
        </w:rPr>
        <w:t>万元，资产总额为</w:t>
      </w:r>
      <w:r>
        <w:rPr>
          <w:szCs w:val="21"/>
          <w:u w:val="single"/>
        </w:rPr>
        <w:t xml:space="preserve">      </w:t>
      </w:r>
      <w:r>
        <w:rPr>
          <w:szCs w:val="21"/>
        </w:rPr>
        <w:t>万元，属于</w:t>
      </w:r>
      <w:r>
        <w:rPr>
          <w:szCs w:val="21"/>
          <w:u w:val="single"/>
        </w:rPr>
        <w:t>（中型企业、小型企业、微型企业）</w:t>
      </w:r>
      <w:r>
        <w:rPr>
          <w:szCs w:val="21"/>
        </w:rPr>
        <w:t>；</w:t>
      </w:r>
    </w:p>
    <w:p>
      <w:pPr>
        <w:pStyle w:val="5"/>
        <w:spacing w:before="34" w:line="500" w:lineRule="exact"/>
        <w:ind w:right="142"/>
      </w:pPr>
      <w:r>
        <w:t xml:space="preserve"> </w:t>
      </w:r>
    </w:p>
    <w:p>
      <w:pPr>
        <w:pStyle w:val="5"/>
        <w:spacing w:before="34" w:line="500" w:lineRule="exact"/>
        <w:ind w:right="142" w:firstLine="480" w:firstLineChars="200"/>
      </w:pPr>
      <w:r>
        <w:t>以上企业，不属于大企业的分支机构，不存在控股股东为大企业的情形，也不存在与大企业的负责人为同一人的情形。</w:t>
      </w:r>
    </w:p>
    <w:p>
      <w:pPr>
        <w:pStyle w:val="5"/>
        <w:spacing w:before="34" w:line="500" w:lineRule="exact"/>
        <w:ind w:right="142" w:firstLine="480" w:firstLineChars="200"/>
      </w:pPr>
      <w:r>
        <w:t>本企业对上述声明内容的真实性负责。如有虚假，将依法承担相应责任。</w:t>
      </w:r>
    </w:p>
    <w:p>
      <w:pPr>
        <w:pStyle w:val="10"/>
        <w:spacing w:line="360" w:lineRule="auto"/>
        <w:ind w:firstLine="420" w:firstLineChars="200"/>
        <w:rPr>
          <w:rFonts w:ascii="Times New Roman" w:hAnsi="Times New Roman"/>
          <w:szCs w:val="21"/>
        </w:rPr>
      </w:pPr>
    </w:p>
    <w:p>
      <w:pPr>
        <w:pStyle w:val="10"/>
        <w:spacing w:line="360" w:lineRule="auto"/>
        <w:ind w:firstLine="420" w:firstLineChars="200"/>
        <w:rPr>
          <w:rFonts w:ascii="Times New Roman" w:hAnsi="Times New Roman"/>
          <w:szCs w:val="21"/>
        </w:rPr>
      </w:pPr>
    </w:p>
    <w:p>
      <w:pPr>
        <w:snapToGrid w:val="0"/>
        <w:spacing w:line="360" w:lineRule="auto"/>
        <w:ind w:firstLine="5040" w:firstLineChars="2100"/>
        <w:rPr>
          <w:kern w:val="0"/>
          <w:sz w:val="24"/>
        </w:rPr>
      </w:pPr>
      <w:r>
        <w:rPr>
          <w:kern w:val="0"/>
          <w:sz w:val="24"/>
          <w:lang w:val="zh-CN"/>
        </w:rPr>
        <w:t>投标人名称(签章)：</w:t>
      </w:r>
    </w:p>
    <w:p>
      <w:pPr>
        <w:snapToGrid w:val="0"/>
        <w:spacing w:line="360" w:lineRule="auto"/>
        <w:ind w:firstLine="5160" w:firstLineChars="2150"/>
        <w:rPr>
          <w:kern w:val="0"/>
          <w:sz w:val="24"/>
          <w:lang w:val="zh-CN"/>
        </w:rPr>
      </w:pPr>
      <w:r>
        <w:rPr>
          <w:kern w:val="0"/>
          <w:sz w:val="24"/>
          <w:lang w:val="zh-CN"/>
        </w:rPr>
        <w:t>日期</w:t>
      </w:r>
      <w:r>
        <w:rPr>
          <w:kern w:val="0"/>
          <w:sz w:val="24"/>
        </w:rPr>
        <w:t xml:space="preserve">：  年  </w:t>
      </w:r>
      <w:r>
        <w:rPr>
          <w:kern w:val="0"/>
          <w:sz w:val="24"/>
          <w:lang w:val="zh-CN"/>
        </w:rPr>
        <w:t>月</w:t>
      </w:r>
      <w:r>
        <w:rPr>
          <w:kern w:val="0"/>
          <w:sz w:val="24"/>
        </w:rPr>
        <w:t xml:space="preserve">   </w:t>
      </w:r>
      <w:r>
        <w:rPr>
          <w:kern w:val="0"/>
          <w:sz w:val="24"/>
          <w:lang w:val="zh-CN"/>
        </w:rPr>
        <w:t>日</w:t>
      </w:r>
    </w:p>
    <w:p>
      <w:pPr>
        <w:pStyle w:val="10"/>
        <w:spacing w:line="360" w:lineRule="auto"/>
        <w:ind w:firstLine="420" w:firstLineChars="200"/>
        <w:rPr>
          <w:rFonts w:ascii="Times New Roman" w:hAnsi="Times New Roman"/>
          <w:szCs w:val="21"/>
        </w:rPr>
      </w:pPr>
    </w:p>
    <w:p>
      <w:pPr>
        <w:snapToGrid w:val="0"/>
        <w:spacing w:before="50" w:after="165" w:afterLines="50" w:line="360" w:lineRule="auto"/>
        <w:jc w:val="left"/>
        <w:rPr>
          <w:sz w:val="20"/>
        </w:rPr>
      </w:pPr>
      <w:r>
        <w:rPr>
          <w:sz w:val="20"/>
        </w:rPr>
        <w:t>注：</w:t>
      </w:r>
    </w:p>
    <w:p>
      <w:pPr>
        <w:numPr>
          <w:ilvl w:val="0"/>
          <w:numId w:val="3"/>
        </w:numPr>
        <w:snapToGrid w:val="0"/>
        <w:spacing w:before="50" w:after="165" w:afterLines="50" w:line="360" w:lineRule="auto"/>
        <w:jc w:val="left"/>
        <w:rPr>
          <w:sz w:val="20"/>
        </w:rPr>
      </w:pPr>
      <w:r>
        <w:rPr>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sz w:val="20"/>
        </w:rPr>
      </w:pPr>
      <w:r>
        <w:rPr>
          <w:sz w:val="20"/>
        </w:rPr>
        <w:t>2、请根据自己的真实情况出具《中小企业声明函》。依法享受中小企业优惠政策的，采购人或者采购代理机构在公告中标结果时，同时公告其《中小企业声明函》，接受社会监督。</w:t>
      </w:r>
    </w:p>
    <w:p>
      <w:pPr>
        <w:pStyle w:val="3"/>
      </w:pPr>
    </w:p>
    <w:p/>
    <w:p>
      <w:pPr>
        <w:spacing w:line="528" w:lineRule="exact"/>
        <w:ind w:left="1871" w:firstLine="1200" w:firstLineChars="300"/>
        <w:rPr>
          <w:sz w:val="40"/>
          <w:szCs w:val="40"/>
        </w:rPr>
      </w:pPr>
    </w:p>
    <w:p>
      <w:pPr>
        <w:spacing w:line="528" w:lineRule="exact"/>
        <w:ind w:left="1871" w:firstLine="1200" w:firstLineChars="300"/>
        <w:rPr>
          <w:sz w:val="40"/>
          <w:szCs w:val="40"/>
        </w:rPr>
      </w:pPr>
    </w:p>
    <w:p>
      <w:pPr>
        <w:spacing w:line="528" w:lineRule="exact"/>
        <w:ind w:left="1871" w:firstLine="1200" w:firstLineChars="300"/>
        <w:rPr>
          <w:sz w:val="40"/>
          <w:szCs w:val="40"/>
        </w:rPr>
      </w:pPr>
      <w:r>
        <w:rPr>
          <w:sz w:val="40"/>
          <w:szCs w:val="40"/>
        </w:rPr>
        <w:t>中小微企业划型标准</w:t>
      </w:r>
    </w:p>
    <w:tbl>
      <w:tblPr>
        <w:tblStyle w:val="15"/>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left"/>
              <w:rPr>
                <w:b/>
                <w:kern w:val="0"/>
                <w:sz w:val="24"/>
              </w:rPr>
            </w:pPr>
            <w:r>
              <w:rPr>
                <w:b/>
                <w:kern w:val="0"/>
                <w:sz w:val="24"/>
              </w:rPr>
              <w:t>行业名称</w:t>
            </w:r>
          </w:p>
        </w:tc>
        <w:tc>
          <w:tcPr>
            <w:tcW w:w="1384" w:type="dxa"/>
            <w:tcBorders>
              <w:top w:val="single" w:color="auto" w:sz="4" w:space="0"/>
              <w:left w:val="nil"/>
              <w:bottom w:val="single" w:color="auto" w:sz="4" w:space="0"/>
              <w:right w:val="single" w:color="auto" w:sz="4" w:space="0"/>
            </w:tcBorders>
            <w:noWrap/>
            <w:vAlign w:val="center"/>
          </w:tcPr>
          <w:p>
            <w:pPr>
              <w:widowControl/>
              <w:jc w:val="left"/>
              <w:rPr>
                <w:b/>
                <w:kern w:val="0"/>
                <w:sz w:val="24"/>
              </w:rPr>
            </w:pPr>
            <w:r>
              <w:rPr>
                <w:b/>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pPr>
              <w:widowControl/>
              <w:jc w:val="left"/>
              <w:rPr>
                <w:b/>
                <w:kern w:val="0"/>
                <w:sz w:val="24"/>
              </w:rPr>
            </w:pPr>
            <w:r>
              <w:rPr>
                <w:b/>
                <w:kern w:val="0"/>
                <w:sz w:val="24"/>
              </w:rPr>
              <w:t>计量单位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b/>
                <w:kern w:val="0"/>
                <w:sz w:val="24"/>
              </w:rPr>
            </w:pPr>
            <w:r>
              <w:rPr>
                <w:b/>
                <w:kern w:val="0"/>
                <w:sz w:val="24"/>
              </w:rPr>
              <w:t>中型</w:t>
            </w:r>
          </w:p>
        </w:tc>
        <w:tc>
          <w:tcPr>
            <w:tcW w:w="1440" w:type="dxa"/>
            <w:tcBorders>
              <w:top w:val="single" w:color="auto" w:sz="4" w:space="0"/>
              <w:left w:val="nil"/>
              <w:bottom w:val="single" w:color="auto" w:sz="4" w:space="0"/>
              <w:right w:val="single" w:color="auto" w:sz="4" w:space="0"/>
            </w:tcBorders>
            <w:noWrap/>
            <w:vAlign w:val="center"/>
          </w:tcPr>
          <w:p>
            <w:pPr>
              <w:widowControl/>
              <w:jc w:val="left"/>
              <w:rPr>
                <w:b/>
                <w:kern w:val="0"/>
                <w:sz w:val="24"/>
              </w:rPr>
            </w:pPr>
            <w:r>
              <w:rPr>
                <w:b/>
                <w:kern w:val="0"/>
                <w:sz w:val="24"/>
              </w:rPr>
              <w:t>小型</w:t>
            </w:r>
          </w:p>
        </w:tc>
        <w:tc>
          <w:tcPr>
            <w:tcW w:w="925" w:type="dxa"/>
            <w:tcBorders>
              <w:top w:val="single" w:color="auto" w:sz="4" w:space="0"/>
              <w:left w:val="nil"/>
              <w:bottom w:val="single" w:color="auto" w:sz="4" w:space="0"/>
              <w:right w:val="single" w:color="auto" w:sz="4" w:space="0"/>
            </w:tcBorders>
            <w:noWrap/>
            <w:vAlign w:val="center"/>
          </w:tcPr>
          <w:p>
            <w:pPr>
              <w:widowControl/>
              <w:jc w:val="left"/>
              <w:rPr>
                <w:b/>
                <w:kern w:val="0"/>
                <w:sz w:val="24"/>
              </w:rPr>
            </w:pPr>
            <w:r>
              <w:rPr>
                <w:b/>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农、林、牧、渔</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50≤Y＜500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工业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2000≤Y＜40000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300≤Y＜2000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建筑业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6000≤Y＜80000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300≤Y＜6000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5000≤Z＜80000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300≤Z＜5000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批发业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20≤X＜200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5≤X＜20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5000≤Y＜40000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1000≤Y＜5000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零售业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50≤X＜300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10≤X＜50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500≤Y＜20000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100≤Y＜500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交通运输业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3000≤Y＜30000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200≤Y＜3000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仓储业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100≤X＜200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1000≤Y＜30000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邮政业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20≤X＜300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2000≤Y＜30000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住宿业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餐饮业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2000≤Y＜10000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100≤Y＜2000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信息传输业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100≤X＜2000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1000≤Y＜100000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100≤Y＜1000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软件和信息技术服务业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1000≤Y＜10000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50≤Y＜1000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Y＜50</w:t>
            </w:r>
          </w:p>
        </w:tc>
      </w:tr>
      <w:tr>
        <w:tblPrEx>
          <w:tblCellMar>
            <w:top w:w="0" w:type="dxa"/>
            <w:left w:w="108" w:type="dxa"/>
            <w:bottom w:w="0" w:type="dxa"/>
            <w:right w:w="108" w:type="dxa"/>
          </w:tblCellMar>
        </w:tblPrEx>
        <w:trPr>
          <w:trHeight w:val="316"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房地产开发经营</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1000≤Y＜200000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100≤X＜1000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5000≤Z＜10000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2000≤Y＜5000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物业管理</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300≤X＜1000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100≤X＜300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营业收入（Y）</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1000≤Y＜5000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500≤Y＜1000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租赁和商务服务业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b/>
                <w:bCs/>
                <w:kern w:val="0"/>
                <w:sz w:val="18"/>
                <w:szCs w:val="18"/>
              </w:rPr>
            </w:pP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资产总额（Z）</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万元</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8000≤Z＜120000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100≤Z＜8000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noWrap/>
            <w:vAlign w:val="bottom"/>
          </w:tcPr>
          <w:p>
            <w:pPr>
              <w:widowControl/>
              <w:jc w:val="center"/>
              <w:rPr>
                <w:b/>
                <w:bCs/>
                <w:kern w:val="0"/>
                <w:sz w:val="18"/>
                <w:szCs w:val="18"/>
              </w:rPr>
            </w:pPr>
            <w:r>
              <w:rPr>
                <w:b/>
                <w:bCs/>
                <w:kern w:val="0"/>
                <w:sz w:val="18"/>
                <w:szCs w:val="18"/>
              </w:rPr>
              <w:t>其他未列明行业</w:t>
            </w:r>
          </w:p>
        </w:tc>
        <w:tc>
          <w:tcPr>
            <w:tcW w:w="1384"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从业人员（X）</w:t>
            </w:r>
          </w:p>
        </w:tc>
        <w:tc>
          <w:tcPr>
            <w:tcW w:w="913"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人</w:t>
            </w:r>
          </w:p>
        </w:tc>
        <w:tc>
          <w:tcPr>
            <w:tcW w:w="162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100≤X＜300</w:t>
            </w:r>
          </w:p>
        </w:tc>
        <w:tc>
          <w:tcPr>
            <w:tcW w:w="1440"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10≤X＜100</w:t>
            </w:r>
          </w:p>
        </w:tc>
        <w:tc>
          <w:tcPr>
            <w:tcW w:w="925" w:type="dxa"/>
            <w:tcBorders>
              <w:top w:val="nil"/>
              <w:left w:val="nil"/>
              <w:bottom w:val="single" w:color="auto" w:sz="4" w:space="0"/>
              <w:right w:val="single" w:color="auto" w:sz="4" w:space="0"/>
            </w:tcBorders>
            <w:noWrap/>
            <w:vAlign w:val="center"/>
          </w:tcPr>
          <w:p>
            <w:pPr>
              <w:widowControl/>
              <w:jc w:val="left"/>
              <w:rPr>
                <w:kern w:val="0"/>
                <w:sz w:val="18"/>
                <w:szCs w:val="18"/>
              </w:rPr>
            </w:pPr>
            <w:r>
              <w:rPr>
                <w:kern w:val="0"/>
                <w:sz w:val="18"/>
                <w:szCs w:val="18"/>
              </w:rPr>
              <w:t>X＜10</w:t>
            </w:r>
          </w:p>
        </w:tc>
      </w:tr>
    </w:tbl>
    <w:p>
      <w:pPr>
        <w:spacing w:line="360" w:lineRule="auto"/>
        <w:ind w:firstLine="525" w:firstLineChars="250"/>
        <w:rPr>
          <w:szCs w:val="21"/>
        </w:rPr>
      </w:pPr>
      <w:r>
        <w:rPr>
          <w:szCs w:val="21"/>
        </w:rPr>
        <w:t>说明：上述标准参照《关于印发中小企业划型标准规定的通知》（工信部联企业[2011]300号），大型、中型和小型企业须同时满足所列指标的下限，否则下划一档；微型企业只需满足所列指标中的一项即可。</w:t>
      </w:r>
    </w:p>
    <w:p>
      <w:pPr>
        <w:widowControl/>
        <w:jc w:val="left"/>
        <w:rPr>
          <w:szCs w:val="20"/>
        </w:rPr>
        <w:sectPr>
          <w:pgSz w:w="11906" w:h="16838"/>
          <w:pgMar w:top="1134" w:right="1134" w:bottom="1134" w:left="1134" w:header="720" w:footer="720" w:gutter="0"/>
          <w:cols w:space="720" w:num="1"/>
          <w:docGrid w:type="lines" w:linePitch="331" w:charSpace="0"/>
        </w:sect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7"/>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2">
    <w:nsid w:val="5C8B0BC2"/>
    <w:multiLevelType w:val="singleLevel"/>
    <w:tmpl w:val="5C8B0BC2"/>
    <w:lvl w:ilvl="0" w:tentative="0">
      <w:start w:val="1"/>
      <w:numFmt w:val="decimal"/>
      <w:lvlText w:val="%1."/>
      <w:lvlJc w:val="left"/>
      <w:pPr>
        <w:tabs>
          <w:tab w:val="left" w:pos="312"/>
        </w:tabs>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OWYwYjczODY2MDg3OTAzY2ZjYTAxNDBlNjBlNzUifQ=="/>
  </w:docVars>
  <w:rsids>
    <w:rsidRoot w:val="2A1E10D9"/>
    <w:rsid w:val="00042D25"/>
    <w:rsid w:val="000A33D4"/>
    <w:rsid w:val="000A789F"/>
    <w:rsid w:val="001249D3"/>
    <w:rsid w:val="0013734D"/>
    <w:rsid w:val="002956C5"/>
    <w:rsid w:val="003118DB"/>
    <w:rsid w:val="00566452"/>
    <w:rsid w:val="006F6E93"/>
    <w:rsid w:val="0075651E"/>
    <w:rsid w:val="007A7FBC"/>
    <w:rsid w:val="007C150F"/>
    <w:rsid w:val="007C6D3B"/>
    <w:rsid w:val="007D648F"/>
    <w:rsid w:val="0082437B"/>
    <w:rsid w:val="00873F21"/>
    <w:rsid w:val="00903CAE"/>
    <w:rsid w:val="00951BA2"/>
    <w:rsid w:val="00A54BCB"/>
    <w:rsid w:val="00B15EF2"/>
    <w:rsid w:val="00B8024B"/>
    <w:rsid w:val="00C464C1"/>
    <w:rsid w:val="01AA727F"/>
    <w:rsid w:val="02500D25"/>
    <w:rsid w:val="08CF540A"/>
    <w:rsid w:val="0C250106"/>
    <w:rsid w:val="0C2C5F03"/>
    <w:rsid w:val="0D37337C"/>
    <w:rsid w:val="0D8C4BA7"/>
    <w:rsid w:val="0FB21319"/>
    <w:rsid w:val="12516EC5"/>
    <w:rsid w:val="128D0FAD"/>
    <w:rsid w:val="131B109B"/>
    <w:rsid w:val="13AD7992"/>
    <w:rsid w:val="13B9668C"/>
    <w:rsid w:val="156148A2"/>
    <w:rsid w:val="15714F18"/>
    <w:rsid w:val="184365B4"/>
    <w:rsid w:val="1F6A6A21"/>
    <w:rsid w:val="26F34EC4"/>
    <w:rsid w:val="2A1E10D9"/>
    <w:rsid w:val="2D697595"/>
    <w:rsid w:val="2EA26E86"/>
    <w:rsid w:val="2FFF0CB1"/>
    <w:rsid w:val="31F616F8"/>
    <w:rsid w:val="331537E8"/>
    <w:rsid w:val="3343509B"/>
    <w:rsid w:val="345C3860"/>
    <w:rsid w:val="36A77889"/>
    <w:rsid w:val="37177639"/>
    <w:rsid w:val="391825BD"/>
    <w:rsid w:val="3A2068D8"/>
    <w:rsid w:val="3B470344"/>
    <w:rsid w:val="3B940168"/>
    <w:rsid w:val="3C697992"/>
    <w:rsid w:val="3FD553CB"/>
    <w:rsid w:val="418943BB"/>
    <w:rsid w:val="434750AD"/>
    <w:rsid w:val="46B54148"/>
    <w:rsid w:val="485831CA"/>
    <w:rsid w:val="485E5715"/>
    <w:rsid w:val="49091651"/>
    <w:rsid w:val="4B6D068B"/>
    <w:rsid w:val="4E3F26A3"/>
    <w:rsid w:val="4E6C7AE9"/>
    <w:rsid w:val="502B0E52"/>
    <w:rsid w:val="50ED1425"/>
    <w:rsid w:val="513B1746"/>
    <w:rsid w:val="515E44B8"/>
    <w:rsid w:val="57254E60"/>
    <w:rsid w:val="5DCE4E1F"/>
    <w:rsid w:val="5F59288A"/>
    <w:rsid w:val="5F8D3C5C"/>
    <w:rsid w:val="64AB40C1"/>
    <w:rsid w:val="68790976"/>
    <w:rsid w:val="69F34A72"/>
    <w:rsid w:val="6C7608AE"/>
    <w:rsid w:val="6CB206CD"/>
    <w:rsid w:val="6D194943"/>
    <w:rsid w:val="6F6218B4"/>
    <w:rsid w:val="6F895AEA"/>
    <w:rsid w:val="6FDA0ECB"/>
    <w:rsid w:val="75751A2C"/>
    <w:rsid w:val="75E86C2F"/>
    <w:rsid w:val="7696020F"/>
    <w:rsid w:val="781B595E"/>
    <w:rsid w:val="78391F29"/>
    <w:rsid w:val="79733675"/>
    <w:rsid w:val="7CFB30A3"/>
    <w:rsid w:val="7D562BD2"/>
    <w:rsid w:val="7E330587"/>
    <w:rsid w:val="7F3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pacing w:line="360" w:lineRule="auto"/>
      <w:ind w:firstLine="420"/>
      <w:jc w:val="left"/>
    </w:pPr>
    <w:rPr>
      <w:rFonts w:ascii="宋体"/>
      <w:kern w:val="0"/>
      <w:szCs w:val="20"/>
    </w:rPr>
  </w:style>
  <w:style w:type="paragraph" w:styleId="5">
    <w:name w:val="Body Text"/>
    <w:basedOn w:val="1"/>
    <w:next w:val="6"/>
    <w:qFormat/>
    <w:uiPriority w:val="0"/>
    <w:pPr>
      <w:spacing w:line="380" w:lineRule="exact"/>
    </w:pPr>
    <w:rPr>
      <w:kern w:val="0"/>
      <w:sz w:val="24"/>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9">
    <w:name w:val="List 2"/>
    <w:basedOn w:val="1"/>
    <w:qFormat/>
    <w:uiPriority w:val="0"/>
    <w:pPr>
      <w:ind w:left="100" w:leftChars="200" w:hanging="200" w:hangingChars="200"/>
    </w:pPr>
    <w:rPr>
      <w:sz w:val="28"/>
    </w:rPr>
  </w:style>
  <w:style w:type="paragraph" w:styleId="10">
    <w:name w:val="Plain Text"/>
    <w:basedOn w:val="1"/>
    <w:next w:val="2"/>
    <w:qFormat/>
    <w:uiPriority w:val="0"/>
    <w:rPr>
      <w:rFonts w:ascii="宋体" w:hAnsi="Courier New"/>
      <w:szCs w:val="20"/>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1"/>
    <w:next w:val="1"/>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14">
    <w:name w:val="Body Text First Indent 2"/>
    <w:basedOn w:val="7"/>
    <w:next w:val="13"/>
    <w:qFormat/>
    <w:uiPriority w:val="99"/>
    <w:pPr>
      <w:spacing w:line="460" w:lineRule="exact"/>
      <w:ind w:firstLine="420" w:firstLineChars="200"/>
    </w:pPr>
    <w:rPr>
      <w:rFonts w:ascii="Calibri" w:hAnsi="Calibri"/>
      <w:spacing w:val="0"/>
      <w:sz w:val="21"/>
      <w:szCs w:val="22"/>
    </w:rPr>
  </w:style>
  <w:style w:type="paragraph" w:customStyle="1" w:styleId="17">
    <w:name w:val="表名称"/>
    <w:basedOn w:val="4"/>
    <w:qFormat/>
    <w:uiPriority w:val="0"/>
    <w:pPr>
      <w:numPr>
        <w:ilvl w:val="0"/>
        <w:numId w:val="1"/>
      </w:numPr>
      <w:tabs>
        <w:tab w:val="left" w:pos="360"/>
      </w:tabs>
      <w:spacing w:before="120" w:after="120"/>
      <w:ind w:left="0" w:firstLine="0"/>
      <w:jc w:val="center"/>
    </w:pPr>
    <w:rPr>
      <w:rFonts w:ascii="Calibri" w:hAnsi="Calibri"/>
    </w:rPr>
  </w:style>
  <w:style w:type="paragraph" w:customStyle="1" w:styleId="18">
    <w:name w:val="默认段落字体 Para Char Char Char Char Char Char Char Char Char1 Char Char Char Char"/>
    <w:basedOn w:val="1"/>
    <w:qFormat/>
    <w:uiPriority w:val="0"/>
    <w:rPr>
      <w:rFonts w:ascii="Tahoma" w:hAnsi="Tahoma"/>
      <w:sz w:val="24"/>
      <w:szCs w:val="20"/>
    </w:rPr>
  </w:style>
  <w:style w:type="character" w:customStyle="1" w:styleId="19">
    <w:name w:val="页眉 字符"/>
    <w:basedOn w:val="16"/>
    <w:link w:val="1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6590</Words>
  <Characters>7415</Characters>
  <Lines>65</Lines>
  <Paragraphs>18</Paragraphs>
  <TotalTime>2</TotalTime>
  <ScaleCrop>false</ScaleCrop>
  <LinksUpToDate>false</LinksUpToDate>
  <CharactersWithSpaces>8591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2023-07-10T07:49:00Z</dcterms:created>
  <dc:creator>PC</dc:creator>
  <cp:lastModifiedBy>PC</cp:lastModifiedBy>
  <dcterms:modified xsi:type="dcterms:W3CDTF">2023-07-10T08:55:04Z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E3DB93759580409CBDB5CE1854C57AF0</vt:lpwstr>
  </property>
</Properties>
</file>