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spacing w:val="80"/>
          <w:sz w:val="30"/>
        </w:rPr>
      </w:pPr>
    </w:p>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ind w:left="842" w:hanging="422"/>
        <w:rPr>
          <w:rFonts w:ascii="宋体" w:hAnsi="宋体"/>
          <w:b/>
          <w:bCs/>
          <w:sz w:val="21"/>
          <w:szCs w:val="24"/>
        </w:rPr>
      </w:pPr>
      <w:bookmarkStart w:id="2"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ascii="宋体" w:hAnsi="宋体"/>
          <w:b/>
          <w:bCs/>
        </w:rPr>
      </w:pPr>
      <w:r>
        <w:rPr>
          <w:rFonts w:hint="eastAsia" w:ascii="宋体" w:hAnsi="宋体"/>
          <w:b/>
          <w:bCs/>
        </w:rPr>
        <w:t>2、本次服务采购最高限价为人民币</w:t>
      </w:r>
      <w:r>
        <w:rPr>
          <w:rFonts w:hint="eastAsia" w:ascii="宋体" w:hAnsi="宋体"/>
          <w:b/>
          <w:bCs/>
          <w:lang w:val="en-US" w:eastAsia="zh-CN"/>
        </w:rPr>
        <w:t>壹拾贰万</w:t>
      </w:r>
      <w:r>
        <w:rPr>
          <w:rFonts w:hint="eastAsia" w:ascii="宋体" w:hAnsi="宋体"/>
          <w:b/>
          <w:bCs/>
        </w:rPr>
        <w:t>元整(¥</w:t>
      </w:r>
      <w:r>
        <w:rPr>
          <w:rFonts w:hint="eastAsia" w:ascii="宋体" w:hAnsi="宋体"/>
          <w:b/>
          <w:bCs/>
          <w:lang w:val="en-US" w:eastAsia="zh-CN"/>
        </w:rPr>
        <w:t>120000</w:t>
      </w:r>
      <w:r>
        <w:rPr>
          <w:rFonts w:hint="eastAsia" w:ascii="宋体" w:hAnsi="宋体"/>
          <w:b/>
          <w:bCs/>
        </w:rPr>
        <w:t>.00元)。</w:t>
      </w:r>
    </w:p>
    <w:p>
      <w:pPr>
        <w:pStyle w:val="2"/>
      </w:pPr>
    </w:p>
    <w:p>
      <w:pPr>
        <w:pStyle w:val="2"/>
        <w:ind w:firstLine="843" w:firstLineChars="400"/>
        <w:jc w:val="both"/>
        <w:rPr>
          <w:rFonts w:hint="default" w:eastAsia="宋体"/>
          <w:b/>
          <w:bCs/>
          <w:lang w:val="en-US" w:eastAsia="zh-CN"/>
        </w:rPr>
      </w:pPr>
      <w:r>
        <w:rPr>
          <w:rFonts w:hint="eastAsia"/>
          <w:b/>
          <w:bCs/>
        </w:rPr>
        <w:t>南宁广播电</w:t>
      </w:r>
      <w:r>
        <w:rPr>
          <w:rFonts w:hint="eastAsia" w:ascii="Times New Roman" w:hAnsi="Times New Roman" w:cs="Times New Roman"/>
          <w:b/>
          <w:bCs/>
        </w:rPr>
        <w:t>视台大明山</w:t>
      </w:r>
      <w:r>
        <w:rPr>
          <w:rFonts w:hint="eastAsia" w:cs="Times New Roman"/>
          <w:b/>
          <w:bCs/>
          <w:lang w:val="en-US" w:eastAsia="zh-CN"/>
        </w:rPr>
        <w:t>新媒体账号内容运营服务</w:t>
      </w:r>
    </w:p>
    <w:tbl>
      <w:tblPr>
        <w:tblStyle w:val="16"/>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1270"/>
        <w:gridCol w:w="600"/>
        <w:gridCol w:w="810"/>
        <w:gridCol w:w="705"/>
        <w:gridCol w:w="870"/>
        <w:gridCol w:w="4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序号</w:t>
            </w:r>
          </w:p>
        </w:tc>
        <w:tc>
          <w:tcPr>
            <w:tcW w:w="127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名称</w:t>
            </w:r>
          </w:p>
        </w:tc>
        <w:tc>
          <w:tcPr>
            <w:tcW w:w="60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数量</w:t>
            </w:r>
          </w:p>
        </w:tc>
        <w:tc>
          <w:tcPr>
            <w:tcW w:w="81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单位</w:t>
            </w:r>
          </w:p>
        </w:tc>
        <w:tc>
          <w:tcPr>
            <w:tcW w:w="705"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单价(元</w:t>
            </w:r>
            <w:r>
              <w:rPr>
                <w:rFonts w:ascii="宋体" w:hAnsi="宋体" w:cs="Arial"/>
                <w:b/>
                <w:bCs/>
                <w:color w:val="000000"/>
                <w:kern w:val="0"/>
                <w:szCs w:val="21"/>
              </w:rPr>
              <w:t>）</w:t>
            </w:r>
          </w:p>
        </w:tc>
        <w:tc>
          <w:tcPr>
            <w:tcW w:w="870" w:type="dxa"/>
            <w:vAlign w:val="center"/>
          </w:tcPr>
          <w:p>
            <w:pPr>
              <w:rPr>
                <w:rFonts w:ascii="宋体" w:hAnsi="宋体" w:cs="Arial"/>
                <w:b/>
                <w:bCs/>
                <w:color w:val="000000"/>
                <w:kern w:val="0"/>
                <w:szCs w:val="21"/>
              </w:rPr>
            </w:pPr>
            <w:r>
              <w:rPr>
                <w:rFonts w:eastAsia="仿宋_GB2312"/>
                <w:b/>
                <w:bCs/>
              </w:rPr>
              <w:t>单项合价</w:t>
            </w:r>
            <w:r>
              <w:rPr>
                <w:rFonts w:hint="eastAsia" w:eastAsia="仿宋_GB2312"/>
                <w:b/>
                <w:bCs/>
              </w:rPr>
              <w:t>（</w:t>
            </w:r>
            <w:r>
              <w:rPr>
                <w:rFonts w:eastAsia="仿宋_GB2312"/>
                <w:b/>
                <w:bCs/>
              </w:rPr>
              <w:t>元）</w:t>
            </w:r>
          </w:p>
        </w:tc>
        <w:tc>
          <w:tcPr>
            <w:tcW w:w="4114"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490" w:type="dxa"/>
            <w:vAlign w:val="center"/>
          </w:tcPr>
          <w:p>
            <w:pPr>
              <w:snapToGrid w:val="0"/>
              <w:jc w:val="left"/>
              <w:rPr>
                <w:rFonts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1</w:t>
            </w:r>
          </w:p>
        </w:tc>
        <w:tc>
          <w:tcPr>
            <w:tcW w:w="1270" w:type="dxa"/>
            <w:vAlign w:val="center"/>
          </w:tcPr>
          <w:p>
            <w:pPr>
              <w:snapToGrid w:val="0"/>
              <w:jc w:val="left"/>
              <w:rPr>
                <w:rFonts w:ascii="微软雅黑" w:hAnsi="微软雅黑" w:eastAsia="微软雅黑" w:cs="微软雅黑"/>
                <w:i w:val="0"/>
                <w:iCs w:val="0"/>
                <w:caps w:val="0"/>
                <w:color w:val="000000"/>
                <w:spacing w:val="0"/>
                <w:sz w:val="24"/>
                <w:szCs w:val="24"/>
                <w:shd w:val="clear" w:fill="FFFFFF"/>
              </w:rPr>
            </w:pPr>
            <w:r>
              <w:rPr>
                <w:rFonts w:hint="eastAsia" w:ascii="宋体" w:hAnsi="宋体"/>
              </w:rPr>
              <w:t>大明山新媒体账号内容运营</w:t>
            </w:r>
          </w:p>
        </w:tc>
        <w:tc>
          <w:tcPr>
            <w:tcW w:w="60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600</w:t>
            </w:r>
          </w:p>
        </w:tc>
        <w:tc>
          <w:tcPr>
            <w:tcW w:w="81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人/天</w:t>
            </w:r>
          </w:p>
        </w:tc>
        <w:tc>
          <w:tcPr>
            <w:tcW w:w="70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200</w:t>
            </w:r>
          </w:p>
        </w:tc>
        <w:tc>
          <w:tcPr>
            <w:tcW w:w="87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120000</w:t>
            </w:r>
          </w:p>
        </w:tc>
        <w:tc>
          <w:tcPr>
            <w:tcW w:w="4114" w:type="dxa"/>
            <w:vAlign w:val="center"/>
          </w:tcPr>
          <w:p>
            <w:pPr>
              <w:snapToGrid w:val="0"/>
              <w:jc w:val="left"/>
              <w:rPr>
                <w:rFonts w:ascii="宋体" w:hAnsi="宋体"/>
                <w:szCs w:val="21"/>
              </w:rPr>
            </w:pPr>
            <w:r>
              <w:rPr>
                <w:rFonts w:hint="eastAsia" w:ascii="宋体" w:hAnsi="宋体"/>
                <w:sz w:val="24"/>
                <w:szCs w:val="24"/>
              </w:rPr>
              <w:t>提供不少于6人的专业编辑团队负责大明山新媒体平台账号内容更新工作，并指派两名专业编辑驻点南宁广播电视台融媒体中心，配合新媒体账号日常更新工作，具体如下：广西大明山服务号每月更新不少于10篇原创推文；南宁大明山风景旅游区订阅号每周至少更新发布原创图文8篇；大明山党建订阅号按来稿文章发布，每月更新不少于10次；抖音号每月至少更新5次；小红书每季度至少更新发布原创图文5次；微博每周至少更新发布原创图文5篇，每周内容更新4次；头条号每月至少更新发布原创图文10次；</w:t>
            </w:r>
            <w:r>
              <w:rPr>
                <w:rFonts w:hint="eastAsia" w:ascii="宋体" w:hAnsi="宋体"/>
                <w:sz w:val="24"/>
                <w:szCs w:val="24"/>
              </w:rPr>
              <w:br w:type="textWrapping"/>
            </w:r>
            <w:r>
              <w:rPr>
                <w:rFonts w:hint="eastAsia" w:ascii="宋体" w:hAnsi="宋体"/>
                <w:sz w:val="24"/>
                <w:szCs w:val="24"/>
              </w:rPr>
              <w:t>负责完成大明山各新媒体账号年度认证工作；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490" w:type="dxa"/>
            <w:vAlign w:val="center"/>
          </w:tcPr>
          <w:p>
            <w:pPr>
              <w:tabs>
                <w:tab w:val="left" w:pos="1440"/>
              </w:tabs>
              <w:spacing w:line="400" w:lineRule="exact"/>
              <w:jc w:val="left"/>
              <w:rPr>
                <w:rFonts w:ascii="宋体" w:hAnsi="宋体" w:cs="Arial"/>
                <w:bCs/>
                <w:color w:val="000000"/>
                <w:kern w:val="0"/>
                <w:szCs w:val="21"/>
              </w:rPr>
            </w:pPr>
            <w:r>
              <w:rPr>
                <w:rFonts w:hint="eastAsia" w:ascii="宋体" w:hAnsi="宋体" w:cs="Arial"/>
                <w:bCs/>
                <w:color w:val="000000"/>
                <w:kern w:val="0"/>
                <w:szCs w:val="21"/>
              </w:rPr>
              <w:t>商务条款</w:t>
            </w:r>
          </w:p>
        </w:tc>
        <w:tc>
          <w:tcPr>
            <w:tcW w:w="8369" w:type="dxa"/>
            <w:gridSpan w:val="6"/>
          </w:tcPr>
          <w:p>
            <w:pPr>
              <w:widowControl/>
              <w:shd w:val="clear" w:color="auto" w:fill="FFFFFF"/>
              <w:spacing w:line="330" w:lineRule="atLeast"/>
              <w:rPr>
                <w:rFonts w:ascii="宋体" w:hAnsi="宋体"/>
              </w:rPr>
            </w:pPr>
            <w:r>
              <w:rPr>
                <w:rFonts w:hint="eastAsia" w:ascii="宋体" w:hAnsi="宋体"/>
              </w:rPr>
              <w:t>一、合同签订期：自中标通知书发出之日起</w:t>
            </w:r>
            <w:r>
              <w:rPr>
                <w:rFonts w:hint="eastAsia" w:ascii="宋体" w:hAnsi="宋体"/>
                <w:highlight w:val="none"/>
                <w:u w:val="single"/>
              </w:rPr>
              <w:t xml:space="preserve"> </w:t>
            </w:r>
            <w:r>
              <w:rPr>
                <w:rFonts w:hint="eastAsia" w:ascii="宋体" w:hAnsi="宋体"/>
                <w:highlight w:val="none"/>
                <w:u w:val="single"/>
                <w:lang w:val="en-US" w:eastAsia="zh-CN"/>
              </w:rPr>
              <w:t xml:space="preserve">5 </w:t>
            </w:r>
            <w:r>
              <w:rPr>
                <w:rFonts w:hint="eastAsia" w:ascii="宋体" w:hAnsi="宋体"/>
              </w:rPr>
              <w:t>个工作日内</w:t>
            </w:r>
          </w:p>
          <w:p>
            <w:pPr>
              <w:widowControl/>
              <w:shd w:val="clear" w:color="auto" w:fill="FFFFFF"/>
              <w:spacing w:line="330" w:lineRule="atLeast"/>
              <w:rPr>
                <w:rFonts w:ascii="宋体" w:hAnsi="宋体"/>
                <w:u w:val="single"/>
              </w:rPr>
            </w:pPr>
            <w:r>
              <w:rPr>
                <w:rFonts w:hint="eastAsia" w:ascii="宋体" w:hAnsi="宋体"/>
              </w:rPr>
              <w:t>二、提交服务成果地点：</w:t>
            </w:r>
            <w:r>
              <w:rPr>
                <w:rFonts w:hint="eastAsia" w:ascii="宋体" w:hAnsi="宋体"/>
                <w:u w:val="single"/>
              </w:rPr>
              <w:t xml:space="preserve"> 采购人指定地点  。</w:t>
            </w:r>
          </w:p>
          <w:p>
            <w:pPr>
              <w:rPr>
                <w:rFonts w:hint="default" w:ascii="宋体" w:hAnsi="宋体" w:eastAsia="宋体"/>
                <w:color w:val="FF0000"/>
                <w:u w:val="single"/>
                <w:lang w:val="en-US" w:eastAsia="zh-CN"/>
              </w:rPr>
            </w:pPr>
            <w:r>
              <w:rPr>
                <w:rFonts w:hint="eastAsia" w:ascii="宋体" w:hAnsi="宋体"/>
              </w:rPr>
              <w:t>三、服务期限</w:t>
            </w:r>
            <w:r>
              <w:rPr>
                <w:rFonts w:hint="eastAsia" w:ascii="宋体" w:hAnsi="宋体"/>
                <w:u w:val="single"/>
              </w:rPr>
              <w:t>：</w:t>
            </w:r>
            <w:r>
              <w:rPr>
                <w:rFonts w:hint="eastAsia" w:ascii="宋体" w:hAnsi="宋体" w:cs="宋体"/>
                <w:color w:val="000000"/>
                <w:kern w:val="0"/>
                <w:szCs w:val="21"/>
                <w:u w:val="single"/>
              </w:rPr>
              <w:t>自合同签订之日起至2023年</w:t>
            </w:r>
            <w:r>
              <w:rPr>
                <w:rFonts w:hint="eastAsia" w:ascii="宋体" w:hAnsi="宋体" w:cs="宋体"/>
                <w:color w:val="000000"/>
                <w:kern w:val="0"/>
                <w:szCs w:val="21"/>
                <w:highlight w:val="none"/>
                <w:u w:val="single"/>
                <w:lang w:val="en-US" w:eastAsia="zh-CN"/>
              </w:rPr>
              <w:t xml:space="preserve"> 11</w:t>
            </w:r>
            <w:r>
              <w:rPr>
                <w:rFonts w:hint="eastAsia" w:ascii="宋体" w:hAnsi="宋体" w:cs="宋体"/>
                <w:color w:val="000000"/>
                <w:kern w:val="0"/>
                <w:szCs w:val="21"/>
                <w:u w:val="single"/>
              </w:rPr>
              <w:t>月</w:t>
            </w:r>
            <w:r>
              <w:rPr>
                <w:rFonts w:hint="eastAsia" w:ascii="宋体" w:hAnsi="宋体" w:cs="宋体"/>
                <w:color w:val="000000"/>
                <w:kern w:val="0"/>
                <w:szCs w:val="21"/>
                <w:u w:val="single"/>
                <w:lang w:val="en-US" w:eastAsia="zh-CN"/>
              </w:rPr>
              <w:t>30日。</w:t>
            </w:r>
          </w:p>
          <w:p>
            <w:pPr>
              <w:rPr>
                <w:rFonts w:ascii="宋体" w:hAnsi="宋体"/>
              </w:rPr>
            </w:pPr>
            <w:r>
              <w:rPr>
                <w:rFonts w:hint="eastAsia" w:ascii="宋体" w:hAnsi="宋体"/>
              </w:rPr>
              <w:t>四、其他要求：</w:t>
            </w:r>
          </w:p>
          <w:p>
            <w:pPr>
              <w:rPr>
                <w:rFonts w:ascii="宋体" w:hAnsi="宋体"/>
              </w:rPr>
            </w:pPr>
            <w:r>
              <w:rPr>
                <w:rFonts w:hint="eastAsia" w:ascii="宋体" w:hAnsi="宋体"/>
              </w:rPr>
              <w:t>1、报价必须含以下部分，包括：</w:t>
            </w:r>
          </w:p>
          <w:p>
            <w:pPr>
              <w:rPr>
                <w:rFonts w:ascii="宋体" w:hAnsi="宋体"/>
              </w:rPr>
            </w:pPr>
            <w:r>
              <w:rPr>
                <w:rFonts w:hint="eastAsia" w:ascii="宋体" w:hAnsi="宋体"/>
              </w:rPr>
              <w:t>（1）服务内容所产生的费用；</w:t>
            </w:r>
          </w:p>
          <w:p>
            <w:pPr>
              <w:rPr>
                <w:rFonts w:ascii="宋体" w:hAnsi="宋体"/>
              </w:rPr>
            </w:pPr>
            <w:r>
              <w:rPr>
                <w:rFonts w:hint="eastAsia" w:ascii="宋体" w:hAnsi="宋体"/>
              </w:rPr>
              <w:t>（2）此项目的</w:t>
            </w:r>
            <w:r>
              <w:rPr>
                <w:rFonts w:ascii="宋体" w:hAnsi="宋体"/>
              </w:rPr>
              <w:t>税金等</w:t>
            </w:r>
            <w:r>
              <w:rPr>
                <w:rFonts w:hint="eastAsia" w:ascii="宋体" w:hAnsi="宋体"/>
              </w:rPr>
              <w:t>所有</w:t>
            </w:r>
            <w:r>
              <w:rPr>
                <w:rFonts w:ascii="宋体" w:hAnsi="宋体"/>
              </w:rPr>
              <w:t>费用。</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highlight w:val="red"/>
                <w:lang w:val="en-US" w:eastAsia="zh-CN"/>
              </w:rPr>
            </w:pPr>
            <w:r>
              <w:rPr>
                <w:rFonts w:hint="eastAsia" w:ascii="宋体" w:hAnsi="宋体" w:cs="宋体"/>
                <w:kern w:val="0"/>
                <w:szCs w:val="21"/>
              </w:rPr>
              <w:t>★</w:t>
            </w:r>
            <w:r>
              <w:rPr>
                <w:rFonts w:hint="eastAsia" w:ascii="宋体" w:hAnsi="宋体"/>
              </w:rPr>
              <w:t>2、付款方式：</w:t>
            </w:r>
            <w:r>
              <w:rPr>
                <w:rFonts w:hint="eastAsia" w:ascii="宋体" w:hAnsi="宋体"/>
                <w:lang w:val="en-US" w:eastAsia="zh-CN"/>
              </w:rPr>
              <w:t>本项目无预付款，</w:t>
            </w:r>
            <w:r>
              <w:rPr>
                <w:rFonts w:hint="eastAsia" w:ascii="宋体" w:hAnsi="宋体"/>
                <w:highlight w:val="none"/>
                <w:lang w:val="en-US" w:eastAsia="zh-CN"/>
              </w:rPr>
              <w:t>合同签署后十个工作日内，</w:t>
            </w:r>
            <w:r>
              <w:rPr>
                <w:rFonts w:hint="eastAsia"/>
              </w:rPr>
              <w:t>中标供应商提供合同总金额</w:t>
            </w:r>
            <w:r>
              <w:rPr>
                <w:rFonts w:hint="eastAsia"/>
                <w:lang w:val="en-US" w:eastAsia="zh-CN"/>
              </w:rPr>
              <w:t>6</w:t>
            </w:r>
            <w:r>
              <w:rPr>
                <w:rFonts w:hint="eastAsia"/>
              </w:rPr>
              <w:t>0%的增值税专用发票给采购人，采购人在收到发票后二十个工作日内支付</w:t>
            </w:r>
            <w:r>
              <w:rPr>
                <w:rFonts w:hint="eastAsia"/>
                <w:lang w:val="en-US" w:eastAsia="zh-CN"/>
              </w:rPr>
              <w:t>6</w:t>
            </w:r>
            <w:r>
              <w:rPr>
                <w:rFonts w:hint="eastAsia"/>
              </w:rPr>
              <w:t>0%的合同款；</w:t>
            </w:r>
            <w:r>
              <w:rPr>
                <w:rFonts w:hint="eastAsia" w:ascii="宋体" w:hAnsi="宋体"/>
                <w:highlight w:val="none"/>
                <w:lang w:val="en-US" w:eastAsia="zh-CN"/>
              </w:rPr>
              <w:t>7月31日前</w:t>
            </w:r>
            <w:r>
              <w:rPr>
                <w:rFonts w:hint="eastAsia"/>
              </w:rPr>
              <w:t>中标供应商提供合同总金额</w:t>
            </w:r>
            <w:r>
              <w:rPr>
                <w:rFonts w:hint="eastAsia"/>
                <w:lang w:val="en-US" w:eastAsia="zh-CN"/>
              </w:rPr>
              <w:t>30</w:t>
            </w:r>
            <w:r>
              <w:rPr>
                <w:rFonts w:hint="eastAsia"/>
              </w:rPr>
              <w:t>%的增值税专用发票给采购人，采购人在收到发票后二十个工作日内支付</w:t>
            </w:r>
            <w:r>
              <w:rPr>
                <w:rFonts w:hint="eastAsia"/>
                <w:lang w:val="en-US" w:eastAsia="zh-CN"/>
              </w:rPr>
              <w:t>3</w:t>
            </w:r>
            <w:r>
              <w:rPr>
                <w:rFonts w:hint="eastAsia"/>
              </w:rPr>
              <w:t>0%的合同款</w:t>
            </w:r>
            <w:r>
              <w:rPr>
                <w:rFonts w:hint="eastAsia" w:ascii="宋体" w:hAnsi="宋体"/>
                <w:highlight w:val="none"/>
                <w:lang w:val="en-US" w:eastAsia="zh-CN"/>
              </w:rPr>
              <w:t>；采购人对项目验收完成后供应商开具10%的</w:t>
            </w:r>
            <w:r>
              <w:rPr>
                <w:rFonts w:hint="eastAsia"/>
              </w:rPr>
              <w:t>增值税专用发票给采购人</w:t>
            </w:r>
            <w:r>
              <w:rPr>
                <w:rFonts w:hint="eastAsia"/>
                <w:lang w:eastAsia="zh-CN"/>
              </w:rPr>
              <w:t>，</w:t>
            </w:r>
            <w:r>
              <w:rPr>
                <w:rFonts w:hint="eastAsia"/>
              </w:rPr>
              <w:t>采购人在收到发票后二十个工作日内支付</w:t>
            </w:r>
            <w:r>
              <w:rPr>
                <w:rFonts w:hint="eastAsia"/>
                <w:lang w:val="en-US" w:eastAsia="zh-CN"/>
              </w:rPr>
              <w:t>10%的合同款</w:t>
            </w:r>
            <w:r>
              <w:rPr>
                <w:rFonts w:hint="eastAsia" w:ascii="宋体" w:hAnsi="宋体"/>
                <w:highlight w:val="none"/>
                <w:lang w:val="en-US" w:eastAsia="zh-CN"/>
              </w:rPr>
              <w:t>。</w:t>
            </w:r>
          </w:p>
          <w:p>
            <w:pPr>
              <w:pStyle w:val="2"/>
              <w:numPr>
                <w:ilvl w:val="0"/>
                <w:numId w:val="2"/>
              </w:numP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售后服务要求：</w:t>
            </w:r>
          </w:p>
          <w:p>
            <w:pPr>
              <w:pStyle w:val="2"/>
              <w:numPr>
                <w:ilvl w:val="0"/>
                <w:numId w:val="0"/>
              </w:numP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中标供应商</w:t>
            </w:r>
            <w:r>
              <w:rPr>
                <w:rFonts w:hint="eastAsia" w:ascii="宋体" w:hAnsi="宋体" w:eastAsia="宋体" w:cs="宋体"/>
                <w:color w:val="auto"/>
                <w:kern w:val="0"/>
                <w:szCs w:val="21"/>
                <w:highlight w:val="none"/>
                <w:lang w:bidi="ar"/>
              </w:rPr>
              <w:t>必须严格按照采购需求中要求完成的各项任务</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2、在服务期间内，遇到问题负责处理解诀并积极配合采购单位各项工作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接到服务运作期间出现各种问题后，4小时内响应，12小时内到场，48小时内协商解决或提出处理建议</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cs="宋体"/>
                <w:color w:val="auto"/>
                <w:kern w:val="0"/>
                <w:szCs w:val="21"/>
                <w:highlight w:val="none"/>
                <w:lang w:val="en-US" w:eastAsia="zh-CN" w:bidi="ar"/>
              </w:rPr>
              <w:t>中标供应商</w:t>
            </w:r>
            <w:r>
              <w:rPr>
                <w:rFonts w:hint="eastAsia" w:ascii="宋体" w:hAnsi="宋体" w:eastAsia="宋体" w:cs="宋体"/>
                <w:color w:val="auto"/>
                <w:kern w:val="0"/>
                <w:szCs w:val="21"/>
                <w:highlight w:val="none"/>
                <w:lang w:bidi="ar"/>
              </w:rPr>
              <w:t>有完善的后勤保障措施,有充足的人员及硬件配套设备</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rPr>
            </w:pPr>
            <w:r>
              <w:rPr>
                <w:rFonts w:hint="eastAsia" w:ascii="宋体" w:hAnsi="宋体" w:eastAsia="宋体" w:cs="宋体"/>
                <w:color w:val="auto"/>
                <w:kern w:val="0"/>
                <w:szCs w:val="21"/>
                <w:highlight w:val="none"/>
                <w:lang w:bidi="ar"/>
              </w:rPr>
              <w:t>4、服务成果验收方案便捷有效，能够及时向采购单位反馈信息。</w:t>
            </w:r>
          </w:p>
          <w:p>
            <w:pPr>
              <w:rPr>
                <w:rFonts w:ascii="宋体" w:hAnsi="宋体"/>
              </w:rPr>
            </w:pPr>
            <w:r>
              <w:rPr>
                <w:rFonts w:hint="eastAsia" w:ascii="宋体" w:hAnsi="宋体"/>
                <w:lang w:val="en-US" w:eastAsia="zh-CN"/>
              </w:rPr>
              <w:t>5</w:t>
            </w:r>
            <w:r>
              <w:rPr>
                <w:rFonts w:hint="eastAsia" w:ascii="宋体" w:hAnsi="宋体"/>
              </w:rPr>
              <w:t>、其他要求：</w:t>
            </w:r>
          </w:p>
          <w:p>
            <w:pPr>
              <w:widowControl/>
              <w:spacing w:line="360" w:lineRule="auto"/>
              <w:rPr>
                <w:rFonts w:ascii="宋体" w:hAnsi="宋体" w:cs="宋体"/>
                <w:color w:val="000000"/>
                <w:kern w:val="0"/>
                <w:szCs w:val="21"/>
              </w:rPr>
            </w:pPr>
            <w:r>
              <w:rPr>
                <w:rFonts w:ascii="宋体" w:hAnsi="宋体"/>
              </w:rPr>
              <w:t>中标供应商未按招标文件中的内容提供服务或服务未达招标要求的，相应责任由中标供应商负责。</w:t>
            </w:r>
            <w:r>
              <w:rPr>
                <w:rFonts w:hint="eastAsia" w:ascii="宋体" w:hAnsi="宋体"/>
              </w:rPr>
              <w:t>采购人有权取消其中标资格并解除合同。期间所有产生的相关费用由中标供应商承担。如期间造成采购人损失的，将追究中标供应商法律责任并赔偿相关损失。</w:t>
            </w:r>
          </w:p>
        </w:tc>
      </w:tr>
      <w:bookmarkEnd w:id="2"/>
    </w:tbl>
    <w:p>
      <w:pPr>
        <w:pStyle w:val="10"/>
        <w:jc w:val="center"/>
        <w:outlineLvl w:val="0"/>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rPr>
          <w:rFonts w:ascii="Times New Roman" w:hAnsi="Times New Roman"/>
          <w:b/>
          <w:sz w:val="36"/>
        </w:rPr>
      </w:pPr>
    </w:p>
    <w:p>
      <w:pPr>
        <w:rPr>
          <w:rFonts w:ascii="Times New Roman" w:hAnsi="Times New Roman"/>
          <w:b/>
          <w:sz w:val="36"/>
        </w:rPr>
      </w:pPr>
    </w:p>
    <w:p>
      <w:pPr>
        <w:pStyle w:val="2"/>
      </w:pPr>
    </w:p>
    <w:p>
      <w:pPr>
        <w:pStyle w:val="10"/>
        <w:spacing w:line="440" w:lineRule="exact"/>
        <w:jc w:val="center"/>
        <w:rPr>
          <w:rFonts w:ascii="Times New Roman" w:hAnsi="Times New Roman"/>
          <w:b/>
          <w:sz w:val="36"/>
        </w:rPr>
      </w:pPr>
    </w:p>
    <w:p>
      <w:pPr>
        <w:pStyle w:val="2"/>
        <w:jc w:val="center"/>
        <w:rPr>
          <w:rFonts w:hint="eastAsia"/>
          <w:b/>
          <w:sz w:val="36"/>
        </w:rPr>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pPr>
      <w:r>
        <w:rPr>
          <w:rFonts w:hint="eastAsia"/>
        </w:rPr>
        <w:t>评标价＝投标报价.</w:t>
      </w: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pPr>
    </w:p>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10"/>
        <w:spacing w:line="440" w:lineRule="exact"/>
        <w:jc w:val="center"/>
        <w:rPr>
          <w:rFonts w:ascii="Times New Roman" w:hAnsi="Times New Roman"/>
          <w:b/>
          <w:sz w:val="36"/>
        </w:rPr>
      </w:pPr>
    </w:p>
    <w:p>
      <w:pPr>
        <w:pStyle w:val="10"/>
        <w:spacing w:line="440" w:lineRule="exact"/>
        <w:jc w:val="center"/>
        <w:rPr>
          <w:rFonts w:hAnsi="宋体"/>
        </w:rPr>
      </w:pP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677"/>
      <w:bookmarkStart w:id="6" w:name="_Toc254970536"/>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2"/>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bookmarkStart w:id="7" w:name="_GoBack"/>
      <w:bookmarkEnd w:id="7"/>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2"/>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10"/>
        <w:jc w:val="center"/>
        <w:outlineLvl w:val="0"/>
        <w:rPr>
          <w:rFonts w:ascii="Times New Roman" w:hAnsi="Times New Roman"/>
          <w:b/>
          <w:sz w:val="36"/>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sz w:val="21"/>
      </w:rPr>
    </w:pPr>
    <w:r>
      <w:rPr>
        <w:sz w:val="21"/>
      </w:rPr>
      <w:fldChar w:fldCharType="begin"/>
    </w:r>
    <w:r>
      <w:rPr>
        <w:rStyle w:val="18"/>
        <w:sz w:val="21"/>
      </w:rPr>
      <w:instrText xml:space="preserve">PAGE  </w:instrText>
    </w:r>
    <w:r>
      <w:rPr>
        <w:sz w:val="21"/>
      </w:rPr>
      <w:fldChar w:fldCharType="separate"/>
    </w:r>
    <w:r>
      <w:rPr>
        <w:rStyle w:val="18"/>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9380E"/>
    <w:multiLevelType w:val="singleLevel"/>
    <w:tmpl w:val="DD19380E"/>
    <w:lvl w:ilvl="0" w:tentative="0">
      <w:start w:val="5"/>
      <w:numFmt w:val="chineseCounting"/>
      <w:suff w:val="nothing"/>
      <w:lvlText w:val="%1、"/>
      <w:lvlJc w:val="left"/>
      <w:rPr>
        <w:rFonts w:hint="eastAsia"/>
      </w:rPr>
    </w:lvl>
  </w:abstractNum>
  <w:abstractNum w:abstractNumId="1">
    <w:nsid w:val="24E409BB"/>
    <w:multiLevelType w:val="multilevel"/>
    <w:tmpl w:val="24E409BB"/>
    <w:lvl w:ilvl="0" w:tentative="0">
      <w:start w:val="1"/>
      <w:numFmt w:val="decimal"/>
      <w:pStyle w:val="2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NjFmN2M4Nzg3OWYxMWIwZDkwMzQwZTRjMzRmYzYifQ=="/>
  </w:docVars>
  <w:rsids>
    <w:rsidRoot w:val="331F3C29"/>
    <w:rsid w:val="00014AAA"/>
    <w:rsid w:val="001B1151"/>
    <w:rsid w:val="001C34C5"/>
    <w:rsid w:val="00211914"/>
    <w:rsid w:val="00471BF2"/>
    <w:rsid w:val="0049218B"/>
    <w:rsid w:val="004F0764"/>
    <w:rsid w:val="005A268A"/>
    <w:rsid w:val="005F2483"/>
    <w:rsid w:val="0063568C"/>
    <w:rsid w:val="00723744"/>
    <w:rsid w:val="00914EAA"/>
    <w:rsid w:val="00A32CB9"/>
    <w:rsid w:val="00AA6D90"/>
    <w:rsid w:val="00AE5F64"/>
    <w:rsid w:val="00C032B8"/>
    <w:rsid w:val="00C36366"/>
    <w:rsid w:val="00CE35B3"/>
    <w:rsid w:val="00E05465"/>
    <w:rsid w:val="00E1230D"/>
    <w:rsid w:val="00F14F92"/>
    <w:rsid w:val="0106085D"/>
    <w:rsid w:val="05FD2466"/>
    <w:rsid w:val="070D03E9"/>
    <w:rsid w:val="0AE04B03"/>
    <w:rsid w:val="0B1424FD"/>
    <w:rsid w:val="0D712BA0"/>
    <w:rsid w:val="0DE303E4"/>
    <w:rsid w:val="0E635812"/>
    <w:rsid w:val="11151D8C"/>
    <w:rsid w:val="120842A7"/>
    <w:rsid w:val="159B7CCB"/>
    <w:rsid w:val="17D5109B"/>
    <w:rsid w:val="1AD5111C"/>
    <w:rsid w:val="1B731063"/>
    <w:rsid w:val="229D661A"/>
    <w:rsid w:val="2BF070C4"/>
    <w:rsid w:val="2D9D4A5D"/>
    <w:rsid w:val="2F302F04"/>
    <w:rsid w:val="331F3C29"/>
    <w:rsid w:val="35122FE6"/>
    <w:rsid w:val="352E0A6B"/>
    <w:rsid w:val="371868DA"/>
    <w:rsid w:val="39FD4981"/>
    <w:rsid w:val="3E4D6218"/>
    <w:rsid w:val="400E1B16"/>
    <w:rsid w:val="423A25D1"/>
    <w:rsid w:val="48090D25"/>
    <w:rsid w:val="4E2E4947"/>
    <w:rsid w:val="579268F3"/>
    <w:rsid w:val="5B210373"/>
    <w:rsid w:val="62781D34"/>
    <w:rsid w:val="67261705"/>
    <w:rsid w:val="688F7BB7"/>
    <w:rsid w:val="6B5660C4"/>
    <w:rsid w:val="6CA22691"/>
    <w:rsid w:val="6F42742E"/>
    <w:rsid w:val="72BC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paragraph" w:styleId="15">
    <w:name w:val="Body Text First Indent 2"/>
    <w:qFormat/>
    <w:uiPriority w:val="0"/>
    <w:pPr>
      <w:widowControl w:val="0"/>
      <w:ind w:firstLine="420" w:firstLineChars="200"/>
      <w:jc w:val="both"/>
    </w:pPr>
    <w:rPr>
      <w:rFonts w:ascii="仿宋_GB2312" w:hAnsi="Times New Roman" w:eastAsia="仿宋_GB2312" w:cs="Times New Roman"/>
      <w:sz w:val="32"/>
      <w:lang w:val="en-US" w:eastAsia="zh-CN" w:bidi="ar-SA"/>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p16"/>
    <w:basedOn w:val="1"/>
    <w:qFormat/>
    <w:uiPriority w:val="0"/>
    <w:pPr>
      <w:widowControl/>
    </w:pPr>
    <w:rPr>
      <w:rFonts w:ascii="宋体" w:hAnsi="宋体" w:cs="宋体"/>
      <w:kern w:val="0"/>
      <w:szCs w:val="21"/>
    </w:rPr>
  </w:style>
  <w:style w:type="paragraph" w:customStyle="1" w:styleId="22">
    <w:name w:val="默认段落字体 Para Char Char Char Char Char Char Char Char Char1 Char Char Char Char"/>
    <w:basedOn w:val="1"/>
    <w:qFormat/>
    <w:uiPriority w:val="0"/>
    <w:rPr>
      <w:rFonts w:ascii="Tahoma" w:hAnsi="Tahoma"/>
      <w:sz w:val="24"/>
      <w:szCs w:val="20"/>
    </w:rPr>
  </w:style>
  <w:style w:type="paragraph" w:customStyle="1" w:styleId="23">
    <w:name w:val="表名称"/>
    <w:basedOn w:val="7"/>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3608</Words>
  <Characters>3791</Characters>
  <Lines>40</Lines>
  <Paragraphs>11</Paragraphs>
  <TotalTime>0</TotalTime>
  <ScaleCrop>false</ScaleCrop>
  <LinksUpToDate>false</LinksUpToDate>
  <CharactersWithSpaces>4863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PC</cp:lastModifiedBy>
  <dcterms:modified xsi:type="dcterms:W3CDTF">2023-04-10T04:01:44Z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E457F2ACEE5A44F0A586BFA14A3435AA</vt:lpwstr>
  </property>
</Properties>
</file>