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rPr>
        <w:t>服务需求一览表</w:t>
      </w:r>
      <w:bookmarkEnd w:id="1"/>
    </w:p>
    <w:p>
      <w:pPr>
        <w:pStyle w:val="11"/>
        <w:ind w:left="842" w:hanging="422"/>
        <w:rPr>
          <w:rFonts w:ascii="宋体" w:hAnsi="宋体"/>
          <w:b/>
          <w:bCs/>
          <w:sz w:val="21"/>
          <w:szCs w:val="24"/>
        </w:rPr>
      </w:pPr>
      <w:bookmarkStart w:id="2" w:name="_Toc532545043"/>
      <w:r>
        <w:rPr>
          <w:rFonts w:hint="eastAsia" w:ascii="宋体" w:hAnsi="宋体"/>
          <w:b/>
          <w:bCs/>
          <w:sz w:val="21"/>
          <w:szCs w:val="24"/>
        </w:rPr>
        <w:t>说明：</w:t>
      </w:r>
    </w:p>
    <w:p>
      <w:pPr>
        <w:pStyle w:val="11"/>
        <w:ind w:firstLine="422" w:firstLineChars="200"/>
        <w:rPr>
          <w:rFonts w:ascii="宋体" w:hAnsi="宋体"/>
          <w:b/>
          <w:bCs/>
          <w:sz w:val="21"/>
          <w:szCs w:val="24"/>
        </w:rPr>
      </w:pPr>
      <w:r>
        <w:rPr>
          <w:rFonts w:hint="eastAsia" w:ascii="宋体" w:hAnsi="宋体"/>
          <w:b/>
          <w:bCs/>
          <w:sz w:val="21"/>
          <w:szCs w:val="24"/>
        </w:rPr>
        <w:t>1、本服务需求一览表中标注★号的部分为实质性要求和条件。</w:t>
      </w:r>
    </w:p>
    <w:p>
      <w:pPr>
        <w:ind w:firstLine="422" w:firstLineChars="200"/>
        <w:rPr>
          <w:rFonts w:ascii="宋体" w:hAnsi="宋体"/>
          <w:b/>
          <w:bCs/>
        </w:rPr>
      </w:pPr>
      <w:r>
        <w:rPr>
          <w:rFonts w:hint="eastAsia" w:ascii="宋体" w:hAnsi="宋体"/>
          <w:b/>
          <w:bCs/>
        </w:rPr>
        <w:t>2、本次服务采购最高限价为人民币贰拾伍万元整(¥250000.00元)。</w:t>
      </w:r>
    </w:p>
    <w:p>
      <w:pPr>
        <w:pStyle w:val="2"/>
      </w:pPr>
    </w:p>
    <w:p>
      <w:pPr>
        <w:pStyle w:val="2"/>
        <w:jc w:val="center"/>
        <w:rPr>
          <w:b/>
          <w:bCs/>
        </w:rPr>
      </w:pPr>
      <w:r>
        <w:rPr>
          <w:rFonts w:hint="eastAsia"/>
          <w:b/>
          <w:bCs/>
        </w:rPr>
        <w:t>南宁广播电视台“喜迎党的二十大”主题电影展映活动项目</w:t>
      </w:r>
      <w:r>
        <w:rPr>
          <w:b/>
          <w:bCs/>
        </w:rPr>
        <w:t>SQ202209-04</w:t>
      </w:r>
    </w:p>
    <w:tbl>
      <w:tblPr>
        <w:tblStyle w:val="15"/>
        <w:tblpPr w:leftFromText="180" w:rightFromText="180" w:vertAnchor="text" w:horzAnchor="page" w:tblpX="1330" w:tblpY="349"/>
        <w:tblOverlap w:val="never"/>
        <w:tblW w:w="966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5"/>
        <w:gridCol w:w="870"/>
        <w:gridCol w:w="735"/>
        <w:gridCol w:w="375"/>
        <w:gridCol w:w="870"/>
        <w:gridCol w:w="1215"/>
        <w:gridCol w:w="50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55"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序号</w:t>
            </w:r>
          </w:p>
        </w:tc>
        <w:tc>
          <w:tcPr>
            <w:tcW w:w="870"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名称</w:t>
            </w:r>
          </w:p>
        </w:tc>
        <w:tc>
          <w:tcPr>
            <w:tcW w:w="735"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数量</w:t>
            </w:r>
          </w:p>
        </w:tc>
        <w:tc>
          <w:tcPr>
            <w:tcW w:w="375"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单位</w:t>
            </w:r>
          </w:p>
        </w:tc>
        <w:tc>
          <w:tcPr>
            <w:tcW w:w="870"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单价(元</w:t>
            </w:r>
            <w:r>
              <w:rPr>
                <w:rFonts w:ascii="宋体" w:hAnsi="宋体" w:cs="Arial"/>
                <w:b/>
                <w:bCs/>
                <w:color w:val="000000"/>
                <w:kern w:val="0"/>
                <w:szCs w:val="21"/>
              </w:rPr>
              <w:t>）</w:t>
            </w:r>
          </w:p>
        </w:tc>
        <w:tc>
          <w:tcPr>
            <w:tcW w:w="1215" w:type="dxa"/>
            <w:vAlign w:val="center"/>
          </w:tcPr>
          <w:p>
            <w:pPr>
              <w:rPr>
                <w:rFonts w:ascii="宋体" w:hAnsi="宋体" w:cs="Arial"/>
                <w:b/>
                <w:bCs/>
                <w:color w:val="000000"/>
                <w:kern w:val="0"/>
                <w:szCs w:val="21"/>
              </w:rPr>
            </w:pPr>
            <w:r>
              <w:rPr>
                <w:rFonts w:hint="eastAsia" w:eastAsia="仿宋_GB2312"/>
                <w:b/>
                <w:bCs/>
              </w:rPr>
              <w:t>合计金额（</w:t>
            </w:r>
            <w:r>
              <w:rPr>
                <w:rFonts w:eastAsia="仿宋_GB2312"/>
                <w:b/>
                <w:bCs/>
              </w:rPr>
              <w:t>元）</w:t>
            </w:r>
          </w:p>
        </w:tc>
        <w:tc>
          <w:tcPr>
            <w:tcW w:w="5040"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0" w:hRule="atLeast"/>
        </w:trPr>
        <w:tc>
          <w:tcPr>
            <w:tcW w:w="555" w:type="dxa"/>
            <w:vAlign w:val="center"/>
          </w:tcPr>
          <w:p>
            <w:pPr>
              <w:widowControl/>
              <w:jc w:val="center"/>
              <w:rPr>
                <w:rFonts w:ascii="宋体" w:hAnsi="宋体" w:cs="宋体"/>
                <w:bCs/>
                <w:kern w:val="0"/>
                <w:szCs w:val="21"/>
              </w:rPr>
            </w:pPr>
            <w:r>
              <w:rPr>
                <w:rFonts w:hint="eastAsia" w:ascii="宋体" w:hAnsi="宋体" w:cs="宋体"/>
                <w:bCs/>
                <w:kern w:val="0"/>
                <w:szCs w:val="21"/>
              </w:rPr>
              <w:t>1</w:t>
            </w:r>
          </w:p>
        </w:tc>
        <w:tc>
          <w:tcPr>
            <w:tcW w:w="870" w:type="dxa"/>
            <w:vAlign w:val="center"/>
          </w:tcPr>
          <w:p>
            <w:pPr>
              <w:widowControl/>
              <w:jc w:val="center"/>
              <w:rPr>
                <w:rFonts w:ascii="宋体" w:hAnsi="宋体" w:cs="宋体"/>
                <w:kern w:val="0"/>
                <w:szCs w:val="21"/>
              </w:rPr>
            </w:pPr>
            <w:r>
              <w:rPr>
                <w:rFonts w:hint="eastAsia" w:ascii="宋体" w:hAnsi="宋体" w:cs="宋体"/>
                <w:kern w:val="0"/>
                <w:szCs w:val="21"/>
              </w:rPr>
              <w:t>“喜迎党的二十大”主题电影展映活动</w:t>
            </w:r>
          </w:p>
        </w:tc>
        <w:tc>
          <w:tcPr>
            <w:tcW w:w="735" w:type="dxa"/>
            <w:vAlign w:val="center"/>
          </w:tcPr>
          <w:p>
            <w:pPr>
              <w:widowControl/>
              <w:jc w:val="center"/>
              <w:rPr>
                <w:rFonts w:ascii="宋体" w:hAnsi="宋体" w:cs="宋体"/>
                <w:kern w:val="0"/>
                <w:szCs w:val="21"/>
              </w:rPr>
            </w:pPr>
            <w:r>
              <w:rPr>
                <w:rFonts w:hint="eastAsia" w:ascii="宋体" w:hAnsi="宋体" w:cs="宋体"/>
                <w:kern w:val="0"/>
                <w:szCs w:val="21"/>
              </w:rPr>
              <w:t>500</w:t>
            </w:r>
          </w:p>
        </w:tc>
        <w:tc>
          <w:tcPr>
            <w:tcW w:w="375" w:type="dxa"/>
            <w:vAlign w:val="center"/>
          </w:tcPr>
          <w:p>
            <w:pPr>
              <w:widowControl/>
              <w:jc w:val="center"/>
              <w:rPr>
                <w:rFonts w:ascii="宋体" w:hAnsi="宋体" w:cs="宋体"/>
                <w:kern w:val="0"/>
                <w:szCs w:val="21"/>
              </w:rPr>
            </w:pPr>
            <w:r>
              <w:rPr>
                <w:rFonts w:hint="eastAsia" w:ascii="宋体" w:hAnsi="宋体" w:cs="宋体"/>
                <w:kern w:val="0"/>
                <w:szCs w:val="21"/>
              </w:rPr>
              <w:t>场</w:t>
            </w:r>
          </w:p>
        </w:tc>
        <w:tc>
          <w:tcPr>
            <w:tcW w:w="870" w:type="dxa"/>
            <w:vAlign w:val="center"/>
          </w:tcPr>
          <w:p>
            <w:pPr>
              <w:widowControl/>
              <w:jc w:val="center"/>
              <w:rPr>
                <w:rFonts w:ascii="宋体" w:hAnsi="宋体" w:cs="宋体"/>
                <w:kern w:val="0"/>
                <w:szCs w:val="21"/>
              </w:rPr>
            </w:pPr>
            <w:r>
              <w:rPr>
                <w:rFonts w:hint="eastAsia" w:ascii="宋体" w:hAnsi="宋体" w:cs="宋体"/>
                <w:kern w:val="0"/>
                <w:szCs w:val="21"/>
              </w:rPr>
              <w:t>500</w:t>
            </w:r>
          </w:p>
        </w:tc>
        <w:tc>
          <w:tcPr>
            <w:tcW w:w="1215" w:type="dxa"/>
            <w:vAlign w:val="center"/>
          </w:tcPr>
          <w:p>
            <w:pPr>
              <w:widowControl/>
              <w:jc w:val="cente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250000</w:t>
            </w:r>
          </w:p>
        </w:tc>
        <w:tc>
          <w:tcPr>
            <w:tcW w:w="5040" w:type="dxa"/>
            <w:vAlign w:val="center"/>
          </w:tcPr>
          <w:p>
            <w:pPr>
              <w:ind w:firstLine="440" w:firstLineChars="200"/>
              <w:rPr>
                <w:rFonts w:ascii="黑体" w:hAnsi="黑体" w:eastAsia="黑体" w:cs="黑体"/>
                <w:sz w:val="22"/>
                <w:szCs w:val="28"/>
              </w:rPr>
            </w:pPr>
            <w:r>
              <w:rPr>
                <w:rFonts w:hint="eastAsia" w:ascii="黑体" w:hAnsi="黑体" w:eastAsia="黑体" w:cs="黑体"/>
                <w:sz w:val="22"/>
                <w:szCs w:val="28"/>
              </w:rPr>
              <w:t>一、项目背景及概况</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为贯彻落实《自治区电影局关于开展“喜迎党的二十大”主题电影展映活动的通知》（桂影【2022】5号）精神，结合党史学习教育常态化长效化、“强国复兴有我”群众性宣传教育活动的部署要求，进一步推动全市深入学习宣传贯彻习近平新时代中国特色社会主义思想，全面贯彻当地十九大和十九届历次全会精神，巩固拓展党史学习教育成果，突出迎接宣传贯彻党的二十大这一工作主线，大力营造“喜迎党的二十大”的浓厚氛围。</w:t>
            </w:r>
          </w:p>
          <w:p>
            <w:pPr>
              <w:ind w:left="218" w:leftChars="104" w:firstLine="220" w:firstLineChars="100"/>
              <w:rPr>
                <w:rFonts w:ascii="黑体" w:hAnsi="黑体" w:eastAsia="黑体" w:cs="黑体"/>
                <w:sz w:val="22"/>
                <w:szCs w:val="28"/>
              </w:rPr>
            </w:pPr>
            <w:r>
              <w:rPr>
                <w:rFonts w:hint="eastAsia" w:ascii="黑体" w:hAnsi="黑体" w:eastAsia="黑体" w:cs="黑体"/>
                <w:sz w:val="22"/>
                <w:szCs w:val="28"/>
              </w:rPr>
              <w:t>二、工作内容及目标任务</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1.本项目安排500场电影展映活动。拟在南宁市各商业中心、历史文化街区、景区景点、大中专院校和职业技校、机关单位5类场所（单位）各安排共计500场次的电影展映。</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2.在规定时间内，按质按量完成本项目的放映。</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3.本项目影片使用新中国成立以来各个历史时期拍摄的红色主题影片，尤其是以反映中国共产党领导中国人民在建立新中国、建设新中国的光辉历程为内容的优秀国产影片，包括重大革命历史题材、党史军史题材、英模题材、现实生活题材等。</w:t>
            </w:r>
          </w:p>
          <w:p>
            <w:pPr>
              <w:ind w:firstLine="422" w:firstLineChars="200"/>
              <w:rPr>
                <w:rFonts w:ascii="仿宋_GB2312" w:hAnsi="仿宋_GB2312" w:eastAsia="仿宋_GB2312" w:cs="仿宋_GB2312"/>
                <w:sz w:val="22"/>
                <w:szCs w:val="28"/>
              </w:rPr>
            </w:pPr>
            <w:r>
              <w:rPr>
                <w:rFonts w:hint="eastAsia" w:ascii="宋体" w:hAnsi="宋体"/>
                <w:b/>
                <w:bCs/>
                <w:color w:val="FF0000"/>
              </w:rPr>
              <w:t>★</w:t>
            </w:r>
            <w:r>
              <w:rPr>
                <w:rFonts w:hint="eastAsia" w:ascii="仿宋_GB2312" w:hAnsi="仿宋_GB2312" w:eastAsia="仿宋_GB2312" w:cs="仿宋_GB2312"/>
                <w:sz w:val="22"/>
                <w:szCs w:val="28"/>
              </w:rPr>
              <w:t>4.在放映场地内要通过提前张贴电影公示海报、广播预告等方式向群众及时公告电影放映活动。</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5.放映正片前，要围绕南宁市的中心工作，播放社会主义核心价值观、争创全国文明典范城市、垃圾分类、全民普法、新</w:t>
            </w:r>
            <w:bookmarkStart w:id="6" w:name="_GoBack"/>
            <w:bookmarkEnd w:id="6"/>
            <w:r>
              <w:rPr>
                <w:rFonts w:hint="eastAsia" w:ascii="仿宋_GB2312" w:hAnsi="仿宋_GB2312" w:eastAsia="仿宋_GB2312" w:cs="仿宋_GB2312"/>
                <w:sz w:val="22"/>
                <w:szCs w:val="28"/>
              </w:rPr>
              <w:t>冠防疫知识等宣传片不少于5分钟。</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6.电影展映期间，要采取悬挂宣传横幅、搭设宣传展架等多种形式进行宣传造势，提高活动的知晓度，调动群众参与的积极性。</w:t>
            </w:r>
            <w:r>
              <w:rPr>
                <w:rFonts w:hint="eastAsia" w:ascii="仿宋_GB2312" w:hAnsi="仿宋_GB2312" w:eastAsia="仿宋_GB2312" w:cs="仿宋_GB2312"/>
                <w:sz w:val="22"/>
                <w:szCs w:val="28"/>
              </w:rPr>
              <w:br w:type="textWrapping"/>
            </w:r>
            <w:r>
              <w:rPr>
                <w:rFonts w:hint="eastAsia" w:ascii="仿宋_GB2312" w:hAnsi="仿宋_GB2312" w:eastAsia="仿宋_GB2312" w:cs="仿宋_GB2312"/>
                <w:sz w:val="22"/>
                <w:szCs w:val="28"/>
              </w:rPr>
              <w:t xml:space="preserve">  </w:t>
            </w:r>
            <w:r>
              <w:rPr>
                <w:rFonts w:hint="eastAsia" w:ascii="宋体" w:hAnsi="宋体"/>
                <w:b/>
                <w:bCs/>
                <w:color w:val="FF0000"/>
              </w:rPr>
              <w:t>★</w:t>
            </w:r>
            <w:r>
              <w:rPr>
                <w:rFonts w:hint="eastAsia" w:ascii="仿宋_GB2312" w:hAnsi="仿宋_GB2312" w:eastAsia="仿宋_GB2312" w:cs="仿宋_GB2312"/>
                <w:sz w:val="22"/>
                <w:szCs w:val="28"/>
              </w:rPr>
              <w:t xml:space="preserve"> 7.放映后，要严格落实“放映回执单”制度，并及时收集整理观众的意见，不断改进电影放映方式，提高电影放映工作水平。</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8.放映技术标准：放映用的银幕应在4.5米×2.55米以上，银幕干净、整洁，张挂高度适中。放映设备：0.8K流动数字电影放映机，</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9.本项目放映任务须在202</w:t>
            </w:r>
            <w:r>
              <w:rPr>
                <w:rFonts w:ascii="仿宋_GB2312" w:hAnsi="仿宋_GB2312" w:eastAsia="仿宋_GB2312" w:cs="仿宋_GB2312"/>
                <w:sz w:val="22"/>
                <w:szCs w:val="28"/>
              </w:rPr>
              <w:t>2</w:t>
            </w:r>
            <w:r>
              <w:rPr>
                <w:rFonts w:hint="eastAsia" w:ascii="仿宋_GB2312" w:hAnsi="仿宋_GB2312" w:eastAsia="仿宋_GB2312" w:cs="仿宋_GB2312"/>
                <w:sz w:val="22"/>
                <w:szCs w:val="28"/>
              </w:rPr>
              <w:t>年11月30日前全部完成。</w:t>
            </w:r>
            <w:r>
              <w:rPr>
                <w:rFonts w:hint="eastAsia" w:ascii="仿宋_GB2312" w:hAnsi="仿宋_GB2312" w:eastAsia="仿宋_GB2312" w:cs="仿宋_GB2312"/>
                <w:sz w:val="22"/>
                <w:szCs w:val="28"/>
              </w:rPr>
              <w:br w:type="textWrapping"/>
            </w:r>
            <w:r>
              <w:rPr>
                <w:rFonts w:hint="eastAsia" w:ascii="仿宋_GB2312" w:hAnsi="仿宋_GB2312" w:eastAsia="仿宋_GB2312" w:cs="仿宋_GB2312"/>
                <w:sz w:val="22"/>
                <w:szCs w:val="28"/>
              </w:rPr>
              <w:t xml:space="preserve">   </w:t>
            </w:r>
            <w:r>
              <w:rPr>
                <w:rFonts w:hint="eastAsia" w:ascii="黑体" w:hAnsi="黑体" w:eastAsia="黑体" w:cs="黑体"/>
                <w:sz w:val="22"/>
                <w:szCs w:val="28"/>
              </w:rPr>
              <w:t>三、验收标准</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1.每场电影放映应留存有宣传海报、群众观映的现场照片不少于4张，并分类归档备查。</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2.按5类场所（单位）每次放映结束后，及时如实填写放映记录，放映回执，放映回执和记录表有放映点所在社区负责人签字盖章，不得弄虚作假。</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3.放映安排表、放映进度表、放映完成情况表，报送南宁广播电视台审核。</w:t>
            </w:r>
          </w:p>
          <w:p>
            <w:pPr>
              <w:ind w:firstLine="440" w:firstLineChars="200"/>
              <w:rPr>
                <w:rFonts w:ascii="仿宋_GB2312" w:hAnsi="仿宋_GB2312" w:eastAsia="仿宋_GB2312" w:cs="仿宋_GB2312"/>
                <w:sz w:val="22"/>
                <w:szCs w:val="28"/>
              </w:rPr>
            </w:pPr>
            <w:r>
              <w:rPr>
                <w:rFonts w:hint="eastAsia" w:ascii="仿宋_GB2312" w:hAnsi="仿宋_GB2312" w:eastAsia="仿宋_GB2312" w:cs="仿宋_GB2312"/>
                <w:sz w:val="22"/>
                <w:szCs w:val="28"/>
              </w:rPr>
              <w:t>4.中标供应商台账验收阶段须提供相应放映回执台账和照片台账，并附正规来源的影片订购合同。</w:t>
            </w:r>
          </w:p>
          <w:p>
            <w:pPr>
              <w:pStyle w:val="2"/>
            </w:pPr>
            <w:r>
              <w:rPr>
                <w:rFonts w:hint="eastAsia" w:ascii="黑体" w:hAnsi="黑体" w:eastAsia="黑体" w:cs="黑体"/>
                <w:sz w:val="22"/>
                <w:szCs w:val="28"/>
              </w:rPr>
              <w:t>四、放映资质</w:t>
            </w:r>
          </w:p>
          <w:p>
            <w:pPr>
              <w:snapToGrid w:val="0"/>
              <w:jc w:val="left"/>
              <w:rPr>
                <w:rFonts w:ascii="仿宋_GB2312" w:hAnsi="仿宋_GB2312" w:eastAsia="仿宋_GB2312" w:cs="仿宋_GB2312"/>
                <w:color w:val="FF0000"/>
                <w:sz w:val="22"/>
                <w:szCs w:val="28"/>
              </w:rPr>
            </w:pPr>
            <w:r>
              <w:rPr>
                <w:rFonts w:hint="eastAsia" w:ascii="宋体" w:hAnsi="宋体"/>
                <w:b/>
                <w:bCs/>
                <w:color w:val="FF0000"/>
              </w:rPr>
              <w:t>★</w:t>
            </w:r>
            <w:r>
              <w:rPr>
                <w:rFonts w:hint="eastAsia" w:ascii="仿宋_GB2312" w:hAnsi="仿宋_GB2312" w:eastAsia="仿宋_GB2312" w:cs="仿宋_GB2312"/>
                <w:color w:val="FF0000"/>
                <w:sz w:val="22"/>
                <w:szCs w:val="28"/>
              </w:rPr>
              <w:t>具有放映资质，提供2022年度电影放映经营许可证</w:t>
            </w:r>
          </w:p>
          <w:p>
            <w:pPr>
              <w:pStyle w:val="2"/>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4" w:hRule="atLeast"/>
        </w:trPr>
        <w:tc>
          <w:tcPr>
            <w:tcW w:w="555" w:type="dxa"/>
            <w:vAlign w:val="center"/>
          </w:tcPr>
          <w:p>
            <w:pPr>
              <w:tabs>
                <w:tab w:val="left" w:pos="1440"/>
              </w:tabs>
              <w:spacing w:line="400" w:lineRule="exact"/>
              <w:jc w:val="left"/>
              <w:rPr>
                <w:rFonts w:ascii="宋体" w:hAnsi="宋体" w:cs="Arial"/>
                <w:bCs/>
                <w:color w:val="000000"/>
                <w:kern w:val="0"/>
                <w:szCs w:val="21"/>
              </w:rPr>
            </w:pPr>
            <w:r>
              <w:rPr>
                <w:rFonts w:hint="eastAsia" w:ascii="宋体" w:hAnsi="宋体" w:cs="Arial"/>
                <w:bCs/>
                <w:color w:val="000000"/>
                <w:kern w:val="0"/>
                <w:szCs w:val="21"/>
              </w:rPr>
              <w:t>商务条款</w:t>
            </w:r>
          </w:p>
        </w:tc>
        <w:tc>
          <w:tcPr>
            <w:tcW w:w="9105" w:type="dxa"/>
            <w:gridSpan w:val="6"/>
          </w:tcPr>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 xml:space="preserve">一、合同签订期：自中标通知书发出之日起 </w:t>
            </w:r>
            <w:r>
              <w:rPr>
                <w:rFonts w:ascii="仿宋_GB2312" w:hAnsi="仿宋_GB2312" w:eastAsia="仿宋_GB2312" w:cs="仿宋_GB2312"/>
                <w:sz w:val="22"/>
                <w:szCs w:val="28"/>
              </w:rPr>
              <w:t>15</w:t>
            </w:r>
            <w:r>
              <w:rPr>
                <w:rFonts w:hint="eastAsia" w:ascii="仿宋_GB2312" w:hAnsi="仿宋_GB2312" w:eastAsia="仿宋_GB2312" w:cs="仿宋_GB2312"/>
                <w:sz w:val="22"/>
                <w:szCs w:val="28"/>
              </w:rPr>
              <w:t>个工作日内</w:t>
            </w:r>
          </w:p>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 xml:space="preserve">二、提交服务成果地点： 采购人指定地点  </w:t>
            </w:r>
          </w:p>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三、服务期限：自合同签订之日起至2022年12月31日</w:t>
            </w:r>
          </w:p>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四、其他要求：</w:t>
            </w:r>
          </w:p>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1、报价必须含以下部分，包括：</w:t>
            </w:r>
          </w:p>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（1）服务内容所产生的费用；</w:t>
            </w:r>
          </w:p>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（2）此项目的税金等所有费用。</w:t>
            </w:r>
          </w:p>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2、付款方式：</w:t>
            </w:r>
          </w:p>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（1）项目合同签订后，中标供应商开具成交金额的增值税普通发票给采购人，采购人在收到发票后10个工作日内一次性付清合同款。</w:t>
            </w:r>
          </w:p>
          <w:p>
            <w:pPr>
              <w:snapToGrid w:val="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3、其他要求：</w:t>
            </w:r>
          </w:p>
          <w:p>
            <w:pPr>
              <w:snapToGrid w:val="0"/>
              <w:jc w:val="left"/>
              <w:rPr>
                <w:rFonts w:ascii="宋体" w:hAnsi="宋体" w:cs="宋体"/>
                <w:color w:val="000000"/>
                <w:kern w:val="0"/>
                <w:szCs w:val="21"/>
              </w:rPr>
            </w:pPr>
            <w:r>
              <w:rPr>
                <w:rFonts w:hint="eastAsia" w:ascii="仿宋_GB2312" w:hAnsi="仿宋_GB2312" w:eastAsia="仿宋_GB2312" w:cs="仿宋_GB2312"/>
                <w:sz w:val="22"/>
                <w:szCs w:val="28"/>
              </w:rPr>
              <w:t>（</w:t>
            </w:r>
            <w:r>
              <w:rPr>
                <w:rFonts w:ascii="仿宋_GB2312" w:hAnsi="仿宋_GB2312" w:eastAsia="仿宋_GB2312" w:cs="仿宋_GB2312"/>
                <w:sz w:val="22"/>
                <w:szCs w:val="28"/>
              </w:rPr>
              <w:t>1</w:t>
            </w:r>
            <w:r>
              <w:rPr>
                <w:rFonts w:hint="eastAsia" w:ascii="仿宋_GB2312" w:hAnsi="仿宋_GB2312" w:eastAsia="仿宋_GB2312" w:cs="仿宋_GB2312"/>
                <w:sz w:val="22"/>
                <w:szCs w:val="28"/>
              </w:rPr>
              <w:t>）中标供应商未按招标文件中的内容提供服务或服务未达招标要求的，相应责任由中标供应商负责。采购人有权取消其中标资格并解除合同。期间所有产生的相关费用由中标供应商承担。如期间造成采购人损失的，将追究中标供应商法律责任并赔偿相关损失。</w:t>
            </w:r>
          </w:p>
        </w:tc>
      </w:tr>
      <w:bookmarkEnd w:id="2"/>
    </w:tbl>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2"/>
        <w:jc w:val="center"/>
        <w:rPr>
          <w:b/>
          <w:sz w:val="36"/>
        </w:rPr>
      </w:pPr>
      <w:r>
        <w:rPr>
          <w:rFonts w:hint="eastAsia"/>
          <w:b/>
          <w:sz w:val="36"/>
        </w:rPr>
        <w:t>第二章</w:t>
      </w:r>
      <w:r>
        <w:rPr>
          <w:b/>
          <w:sz w:val="36"/>
        </w:rPr>
        <w:t xml:space="preserve"> </w:t>
      </w:r>
      <w:r>
        <w:rPr>
          <w:rFonts w:hint="eastAsia"/>
          <w:b/>
          <w:sz w:val="36"/>
        </w:rPr>
        <w:t>评审方法</w:t>
      </w:r>
    </w:p>
    <w:p>
      <w:pPr>
        <w:pStyle w:val="2"/>
        <w:rPr>
          <w:sz w:val="28"/>
        </w:rPr>
      </w:pPr>
      <w:r>
        <w:rPr>
          <w:rFonts w:hint="eastAsia"/>
          <w:b/>
          <w:bCs/>
        </w:rPr>
        <w:t xml:space="preserve">                                    </w:t>
      </w:r>
    </w:p>
    <w:p>
      <w:pPr>
        <w:pStyle w:val="10"/>
        <w:jc w:val="center"/>
        <w:rPr>
          <w:rFonts w:ascii="Times New Roman" w:hAnsi="Times New Roman"/>
          <w:b/>
          <w:sz w:val="30"/>
          <w:szCs w:val="30"/>
        </w:rPr>
      </w:pPr>
      <w:r>
        <w:rPr>
          <w:rFonts w:hint="eastAsia" w:ascii="Times New Roman" w:hAnsi="Times New Roman"/>
          <w:b/>
          <w:sz w:val="30"/>
          <w:szCs w:val="30"/>
        </w:rPr>
        <w:t>最低评标价法</w:t>
      </w:r>
    </w:p>
    <w:p>
      <w:pPr>
        <w:pStyle w:val="10"/>
        <w:tabs>
          <w:tab w:val="left" w:pos="1935"/>
        </w:tabs>
        <w:spacing w:line="400" w:lineRule="exact"/>
        <w:ind w:firstLine="420" w:firstLineChars="200"/>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10"/>
        <w:tabs>
          <w:tab w:val="left" w:pos="1935"/>
        </w:tabs>
        <w:spacing w:line="400" w:lineRule="exact"/>
        <w:ind w:firstLine="420" w:firstLineChars="200"/>
      </w:pPr>
      <w:r>
        <w:rPr>
          <w:rFonts w:hint="eastAsia"/>
        </w:rPr>
        <w:t>评标价＝投标报价.</w:t>
      </w: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6"/>
      </w:pPr>
    </w:p>
    <w:p/>
    <w:p>
      <w:pPr>
        <w:pStyle w:val="22"/>
        <w:numPr>
          <w:ilvl w:val="0"/>
          <w:numId w:val="0"/>
        </w:numPr>
      </w:pPr>
    </w:p>
    <w:p>
      <w:pPr>
        <w:pStyle w:val="22"/>
        <w:numPr>
          <w:ilvl w:val="0"/>
          <w:numId w:val="0"/>
        </w:numPr>
      </w:pPr>
    </w:p>
    <w:p>
      <w:pPr>
        <w:pStyle w:val="22"/>
        <w:numPr>
          <w:ilvl w:val="0"/>
          <w:numId w:val="0"/>
        </w:numPr>
      </w:pPr>
    </w:p>
    <w:p>
      <w:pPr>
        <w:pStyle w:val="22"/>
        <w:numPr>
          <w:ilvl w:val="0"/>
          <w:numId w:val="0"/>
        </w:numPr>
      </w:pPr>
    </w:p>
    <w:p>
      <w:pPr>
        <w:pStyle w:val="22"/>
        <w:numPr>
          <w:ilvl w:val="0"/>
          <w:numId w:val="0"/>
        </w:numPr>
      </w:pPr>
    </w:p>
    <w:p>
      <w:pPr>
        <w:pStyle w:val="22"/>
        <w:numPr>
          <w:ilvl w:val="0"/>
          <w:numId w:val="0"/>
        </w:numPr>
      </w:pPr>
    </w:p>
    <w:p>
      <w:pPr>
        <w:pStyle w:val="10"/>
        <w:spacing w:line="440" w:lineRule="exact"/>
        <w:jc w:val="center"/>
        <w:rPr>
          <w:rFonts w:ascii="Times New Roman" w:hAnsi="Times New Roman"/>
          <w:b/>
          <w:sz w:val="36"/>
        </w:rPr>
      </w:pPr>
    </w:p>
    <w:p>
      <w:pPr>
        <w:pStyle w:val="10"/>
        <w:spacing w:line="440" w:lineRule="exact"/>
        <w:jc w:val="center"/>
        <w:rPr>
          <w:rFonts w:hAnsi="宋体"/>
        </w:rPr>
      </w:pPr>
      <w:r>
        <w:rPr>
          <w:rFonts w:hint="eastAsia" w:ascii="Times New Roman" w:hAnsi="Times New Roman"/>
          <w:b/>
          <w:sz w:val="36"/>
        </w:rPr>
        <w:t>第三章</w:t>
      </w:r>
      <w:r>
        <w:rPr>
          <w:rFonts w:ascii="Times New Roman" w:hAnsi="Times New Roman"/>
          <w:b/>
          <w:sz w:val="36"/>
        </w:rPr>
        <w:t xml:space="preserve">  </w:t>
      </w:r>
      <w:bookmarkStart w:id="3" w:name="_Toc532545052"/>
      <w:r>
        <w:rPr>
          <w:rFonts w:ascii="Times New Roman" w:hAnsi="Times New Roman"/>
          <w:b/>
          <w:sz w:val="36"/>
        </w:rPr>
        <w:t xml:space="preserve"> </w:t>
      </w:r>
      <w:r>
        <w:rPr>
          <w:rFonts w:hint="eastAsia" w:ascii="Times New Roman" w:hAnsi="Times New Roman"/>
          <w:b/>
          <w:sz w:val="36"/>
        </w:rPr>
        <w:t>投标文件格式</w:t>
      </w:r>
      <w:bookmarkEnd w:id="3"/>
    </w:p>
    <w:p>
      <w:pPr>
        <w:snapToGrid w:val="0"/>
        <w:spacing w:line="360" w:lineRule="auto"/>
        <w:jc w:val="left"/>
        <w:rPr>
          <w:rFonts w:asciiTheme="minorEastAsia" w:hAnsiTheme="minorEastAsia" w:eastAsiaTheme="minorEastAsia"/>
          <w:b/>
          <w:szCs w:val="21"/>
        </w:rPr>
      </w:pPr>
      <w:bookmarkStart w:id="4" w:name="_Toc254970536"/>
      <w:bookmarkStart w:id="5" w:name="_Toc254970677"/>
      <w:r>
        <w:rPr>
          <w:rFonts w:hint="eastAsia" w:asciiTheme="minorEastAsia" w:hAnsiTheme="minorEastAsia" w:eastAsiaTheme="minorEastAsia"/>
          <w:b/>
          <w:szCs w:val="21"/>
        </w:rPr>
        <w:t>一、投标文件的组成</w:t>
      </w:r>
      <w:bookmarkEnd w:id="4"/>
      <w:bookmarkEnd w:id="5"/>
    </w:p>
    <w:p>
      <w:pPr>
        <w:tabs>
          <w:tab w:val="left" w:pos="3870"/>
          <w:tab w:val="left" w:pos="4085"/>
        </w:tabs>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投标文件由商务文件、投标报价、技术文件文件组成。</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1.</w:t>
      </w:r>
      <w:r>
        <w:rPr>
          <w:rFonts w:hint="eastAsia"/>
        </w:rPr>
        <w:t xml:space="preserve"> </w:t>
      </w:r>
      <w:r>
        <w:rPr>
          <w:rFonts w:hint="eastAsia" w:asciiTheme="minorEastAsia" w:hAnsiTheme="minorEastAsia" w:eastAsiaTheme="minorEastAsia"/>
          <w:b/>
          <w:szCs w:val="21"/>
        </w:rPr>
        <w:t>商务文件（必须提供）</w:t>
      </w:r>
    </w:p>
    <w:p>
      <w:pPr>
        <w:pStyle w:val="10"/>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（1）法人或者其他组织的营业执照等证明文件复印件，（投标人属自然人的提供自然人的身份证明）；</w:t>
      </w:r>
    </w:p>
    <w:p>
      <w:pPr>
        <w:pStyle w:val="10"/>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注：</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\o\ac(○,1)</w:instrText>
      </w:r>
      <w:r>
        <w:rPr>
          <w:rFonts w:asciiTheme="minorEastAsia" w:hAnsiTheme="minorEastAsia" w:eastAsiaTheme="minorEastAsia"/>
          <w:bCs/>
        </w:rPr>
        <w:fldChar w:fldCharType="end"/>
      </w:r>
      <w:r>
        <w:rPr>
          <w:rFonts w:hint="eastAsia" w:asciiTheme="minorEastAsia" w:hAnsiTheme="minorEastAsia" w:eastAsiaTheme="minorEastAsia"/>
          <w:bCs/>
        </w:rPr>
        <w:t>法人包括企业法人、机关法人和社会团体法人；其他组织主要包括合伙企业、非企业专业服务机构、个体工商户、农村承包经营户。</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\o\ac(○,2)</w:instrText>
      </w:r>
      <w:r>
        <w:rPr>
          <w:rFonts w:asciiTheme="minorEastAsia" w:hAnsiTheme="minorEastAsia" w:eastAsiaTheme="minorEastAsia"/>
          <w:bCs/>
        </w:rPr>
        <w:fldChar w:fldCharType="end"/>
      </w:r>
      <w:r>
        <w:rPr>
          <w:rFonts w:hint="eastAsia" w:asciiTheme="minorEastAsia" w:hAnsiTheme="minorEastAsia" w:eastAsiaTheme="minor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10"/>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2）投标人投标截止日之前半年内连续三个月的依法缴纳税收证明（税费凭证复印件，或者依法缴纳税费或免缴税费的证明）；无纳税记录的，应提供由投标人所在地主管国税或地税部门出具的《依法纳税或依法免税证明》（复印件，原件备查）；从取得营业执照时间起到投标文件提交截止时间为止不足要求月数的，需提供从取得营业执照起的依法缴纳税收相应证明文件）。</w:t>
      </w:r>
    </w:p>
    <w:p>
      <w:pPr>
        <w:tabs>
          <w:tab w:val="left" w:pos="1305"/>
        </w:tabs>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（3）投标声明书；</w:t>
      </w:r>
    </w:p>
    <w:p>
      <w:pPr>
        <w:tabs>
          <w:tab w:val="left" w:pos="1305"/>
        </w:tabs>
        <w:spacing w:line="360" w:lineRule="auto"/>
        <w:ind w:firstLine="210" w:firstLineChars="100"/>
        <w:rPr>
          <w:rFonts w:ascii="宋体" w:hAnsi="宋体"/>
          <w:szCs w:val="21"/>
        </w:rPr>
      </w:pPr>
      <w:r>
        <w:rPr>
          <w:rFonts w:hint="eastAsia" w:asciiTheme="minorEastAsia" w:hAnsiTheme="minorEastAsia" w:eastAsiaTheme="minorEastAsia"/>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2.报价文件（必须提供）</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w:t>
      </w:r>
    </w:p>
    <w:p>
      <w:pPr>
        <w:spacing w:line="360" w:lineRule="auto"/>
        <w:ind w:left="141" w:leftChars="67"/>
        <w:rPr>
          <w:rFonts w:asciiTheme="minorEastAsia" w:hAnsiTheme="minorEastAsia" w:eastAsiaTheme="minorEastAsia"/>
          <w:b/>
          <w:szCs w:val="21"/>
        </w:rPr>
      </w:pPr>
      <w:r>
        <w:rPr>
          <w:rFonts w:hint="eastAsia" w:ascii="宋体" w:hAnsi="宋体" w:cs="宋体"/>
          <w:b/>
          <w:szCs w:val="21"/>
        </w:rPr>
        <w:t>★</w:t>
      </w:r>
      <w:r>
        <w:rPr>
          <w:rFonts w:hint="eastAsia" w:asciiTheme="minorEastAsia" w:hAnsiTheme="minorEastAsia" w:eastAsiaTheme="minorEastAsia"/>
          <w:b/>
          <w:szCs w:val="21"/>
        </w:rPr>
        <w:t>注:法定代表人授权委托书必须由法定代表人签名并加盖单位公章；报价文件必须由法定代表人或授权代表签名并加盖单位公章。</w:t>
      </w:r>
    </w:p>
    <w:p>
      <w:pPr>
        <w:pStyle w:val="10"/>
        <w:spacing w:line="440" w:lineRule="exact"/>
        <w:rPr>
          <w:rFonts w:ascii="Times New Roman" w:hAnsi="Times New Roman"/>
          <w:b/>
          <w:sz w:val="36"/>
        </w:rPr>
      </w:pPr>
      <w:r>
        <w:br w:type="page"/>
      </w:r>
    </w:p>
    <w:p>
      <w:pPr>
        <w:widowControl/>
        <w:jc w:val="left"/>
        <w:rPr>
          <w:rFonts w:ascii="宋体" w:hAnsi="宋体"/>
          <w:b/>
          <w:sz w:val="24"/>
        </w:rPr>
      </w:pP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10"/>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10"/>
        <w:snapToGrid w:val="0"/>
        <w:jc w:val="center"/>
        <w:rPr>
          <w:rFonts w:hAnsi="宋体"/>
          <w:b/>
          <w:sz w:val="32"/>
          <w:szCs w:val="32"/>
        </w:rPr>
      </w:pPr>
    </w:p>
    <w:p>
      <w:pPr>
        <w:pStyle w:val="10"/>
        <w:snapToGrid w:val="0"/>
        <w:jc w:val="center"/>
        <w:rPr>
          <w:rFonts w:hAnsi="宋体"/>
          <w:b/>
          <w:sz w:val="32"/>
          <w:szCs w:val="32"/>
        </w:rPr>
      </w:pPr>
      <w:r>
        <w:rPr>
          <w:rFonts w:hint="eastAsia" w:hAnsi="宋体"/>
          <w:b/>
          <w:sz w:val="32"/>
          <w:szCs w:val="32"/>
        </w:rPr>
        <w:t>投标报价明细表</w:t>
      </w:r>
    </w:p>
    <w:tbl>
      <w:tblPr>
        <w:tblStyle w:val="15"/>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10"/>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9"/>
        <w:tabs>
          <w:tab w:val="left" w:pos="939"/>
        </w:tabs>
        <w:snapToGrid w:val="0"/>
        <w:spacing w:line="46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21"/>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11"/>
      </w:pPr>
    </w:p>
    <w:p>
      <w:pPr>
        <w:pStyle w:val="11"/>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10"/>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p>
      <w:pPr>
        <w:pStyle w:val="10"/>
        <w:jc w:val="center"/>
        <w:outlineLvl w:val="0"/>
        <w:rPr>
          <w:rFonts w:ascii="Times New Roman" w:hAnsi="Times New Roman"/>
          <w:b/>
          <w:sz w:val="36"/>
        </w:rPr>
      </w:pPr>
    </w:p>
    <w:sectPr>
      <w:headerReference r:id="rId3" w:type="default"/>
      <w:footerReference r:id="rId4" w:type="default"/>
      <w:footerReference r:id="rId5" w:type="even"/>
      <w:pgSz w:w="11906" w:h="16838"/>
      <w:pgMar w:top="1134" w:right="1134" w:bottom="1134" w:left="1134"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2</w:t>
    </w:r>
    <w:r>
      <w:fldChar w:fldCharType="end"/>
    </w: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sz w:val="21"/>
      </w:rPr>
    </w:pPr>
    <w:r>
      <w:rPr>
        <w:sz w:val="21"/>
      </w:rPr>
      <w:fldChar w:fldCharType="begin"/>
    </w:r>
    <w:r>
      <w:rPr>
        <w:rStyle w:val="17"/>
        <w:sz w:val="21"/>
      </w:rPr>
      <w:instrText xml:space="preserve">PAGE  </w:instrText>
    </w:r>
    <w:r>
      <w:rPr>
        <w:sz w:val="21"/>
      </w:rPr>
      <w:fldChar w:fldCharType="separate"/>
    </w:r>
    <w:r>
      <w:rPr>
        <w:rStyle w:val="17"/>
        <w:sz w:val="21"/>
      </w:rPr>
      <w:t>0</w:t>
    </w:r>
    <w:r>
      <w:rPr>
        <w:sz w:val="21"/>
      </w:rPr>
      <w:fldChar w:fldCharType="end"/>
    </w:r>
  </w:p>
  <w:p>
    <w:pPr>
      <w:pStyle w:val="11"/>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0"/>
        <w:tab w:val="clear" w:pos="4153"/>
      </w:tabs>
      <w:jc w:val="both"/>
    </w:pPr>
    <w:r>
      <w:rPr>
        <w:rFonts w:hint="eastAsia"/>
      </w:rPr>
      <w:t xml:space="preserve">     </w:t>
    </w:r>
  </w:p>
  <w:p>
    <w:pPr>
      <w:pStyle w:val="12"/>
      <w:tabs>
        <w:tab w:val="center" w:pos="0"/>
        <w:tab w:val="clear" w:pos="4153"/>
      </w:tabs>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409BB"/>
    <w:multiLevelType w:val="multilevel"/>
    <w:tmpl w:val="24E409BB"/>
    <w:lvl w:ilvl="0" w:tentative="0">
      <w:start w:val="1"/>
      <w:numFmt w:val="decimal"/>
      <w:pStyle w:val="22"/>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4M2MyOTdmMzYxNDVkZjMwYmZiOWI2N2UzODg2NTYifQ=="/>
  </w:docVars>
  <w:rsids>
    <w:rsidRoot w:val="331F3C29"/>
    <w:rsid w:val="00014AAA"/>
    <w:rsid w:val="00050169"/>
    <w:rsid w:val="001B1151"/>
    <w:rsid w:val="001C34C5"/>
    <w:rsid w:val="001F2CD5"/>
    <w:rsid w:val="00211914"/>
    <w:rsid w:val="00422297"/>
    <w:rsid w:val="00471BF2"/>
    <w:rsid w:val="0049218B"/>
    <w:rsid w:val="004F0764"/>
    <w:rsid w:val="005A268A"/>
    <w:rsid w:val="005F2483"/>
    <w:rsid w:val="0063568C"/>
    <w:rsid w:val="00723744"/>
    <w:rsid w:val="00756106"/>
    <w:rsid w:val="008D2485"/>
    <w:rsid w:val="00914EAA"/>
    <w:rsid w:val="00A32CB9"/>
    <w:rsid w:val="00AA6D90"/>
    <w:rsid w:val="00AE5F64"/>
    <w:rsid w:val="00C032B8"/>
    <w:rsid w:val="00C36366"/>
    <w:rsid w:val="00CE35B3"/>
    <w:rsid w:val="00E0094F"/>
    <w:rsid w:val="00E05465"/>
    <w:rsid w:val="00E1230D"/>
    <w:rsid w:val="00E61042"/>
    <w:rsid w:val="00F14F92"/>
    <w:rsid w:val="0106085D"/>
    <w:rsid w:val="0D712BA0"/>
    <w:rsid w:val="0E635812"/>
    <w:rsid w:val="11151D8C"/>
    <w:rsid w:val="120842A7"/>
    <w:rsid w:val="159B7CCB"/>
    <w:rsid w:val="1AD5111C"/>
    <w:rsid w:val="229D661A"/>
    <w:rsid w:val="24613503"/>
    <w:rsid w:val="2BF070C4"/>
    <w:rsid w:val="2D9D4A5D"/>
    <w:rsid w:val="2F302F04"/>
    <w:rsid w:val="331F3C29"/>
    <w:rsid w:val="352E0A6B"/>
    <w:rsid w:val="371868DA"/>
    <w:rsid w:val="39FD4981"/>
    <w:rsid w:val="400E1B16"/>
    <w:rsid w:val="44EE15EC"/>
    <w:rsid w:val="48090D25"/>
    <w:rsid w:val="4E2E4947"/>
    <w:rsid w:val="579268F3"/>
    <w:rsid w:val="5B210373"/>
    <w:rsid w:val="67261705"/>
    <w:rsid w:val="688F7BB7"/>
    <w:rsid w:val="6B5660C4"/>
    <w:rsid w:val="6F42742E"/>
    <w:rsid w:val="710C3D60"/>
    <w:rsid w:val="72BC356A"/>
    <w:rsid w:val="7EA55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qFormat/>
    <w:uiPriority w:val="0"/>
    <w:pPr>
      <w:widowControl/>
      <w:spacing w:line="360" w:lineRule="auto"/>
      <w:ind w:firstLine="420"/>
      <w:jc w:val="left"/>
    </w:pPr>
    <w:rPr>
      <w:rFonts w:ascii="宋体"/>
      <w:kern w:val="0"/>
      <w:szCs w:val="20"/>
    </w:rPr>
  </w:style>
  <w:style w:type="paragraph" w:styleId="8">
    <w:name w:val="Body Text Indent"/>
    <w:basedOn w:val="1"/>
    <w:qFormat/>
    <w:uiPriority w:val="0"/>
    <w:pPr>
      <w:spacing w:line="200" w:lineRule="exact"/>
      <w:ind w:firstLine="301"/>
    </w:pPr>
    <w:rPr>
      <w:rFonts w:ascii="宋体" w:hAnsi="Courier New"/>
      <w:spacing w:val="-4"/>
      <w:sz w:val="18"/>
      <w:szCs w:val="20"/>
    </w:rPr>
  </w:style>
  <w:style w:type="paragraph" w:styleId="9">
    <w:name w:val="List 2"/>
    <w:basedOn w:val="1"/>
    <w:qFormat/>
    <w:uiPriority w:val="0"/>
    <w:pPr>
      <w:ind w:left="100" w:leftChars="200" w:hanging="200" w:hangingChars="200"/>
    </w:pPr>
    <w:rPr>
      <w:sz w:val="28"/>
    </w:rPr>
  </w:style>
  <w:style w:type="paragraph" w:styleId="10">
    <w:name w:val="Plain Text"/>
    <w:basedOn w:val="1"/>
    <w:next w:val="6"/>
    <w:qFormat/>
    <w:uiPriority w:val="0"/>
    <w:rPr>
      <w:rFonts w:ascii="宋体" w:hAnsi="Courier New"/>
      <w:szCs w:val="20"/>
    </w:rPr>
  </w:style>
  <w:style w:type="paragraph" w:styleId="11">
    <w:name w:val="footer"/>
    <w:basedOn w:val="1"/>
    <w:link w:val="23"/>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b/>
      <w:bCs/>
      <w:caps/>
      <w:sz w:val="20"/>
      <w:szCs w:val="20"/>
    </w:rPr>
  </w:style>
  <w:style w:type="paragraph" w:styleId="14">
    <w:name w:val="toc 2"/>
    <w:basedOn w:val="1"/>
    <w:next w:val="1"/>
    <w:qFormat/>
    <w:uiPriority w:val="39"/>
    <w:pPr>
      <w:tabs>
        <w:tab w:val="right" w:leader="dot" w:pos="9628"/>
      </w:tabs>
      <w:ind w:left="420" w:firstLine="120"/>
      <w:jc w:val="left"/>
    </w:pPr>
    <w:rPr>
      <w:smallCaps/>
      <w:sz w:val="20"/>
      <w:szCs w:val="20"/>
    </w:rPr>
  </w:style>
  <w:style w:type="character" w:styleId="17">
    <w:name w:val="page number"/>
    <w:basedOn w:val="16"/>
    <w:qFormat/>
    <w:uiPriority w:val="0"/>
  </w:style>
  <w:style w:type="character" w:styleId="18">
    <w:name w:val="Hyperlink"/>
    <w:qFormat/>
    <w:uiPriority w:val="99"/>
    <w:rPr>
      <w:color w:val="0000FF"/>
      <w:u w:val="single"/>
    </w:rPr>
  </w:style>
  <w:style w:type="paragraph" w:customStyle="1" w:styleId="19">
    <w:name w:val="正文段"/>
    <w:basedOn w:val="1"/>
    <w:qFormat/>
    <w:uiPriority w:val="0"/>
    <w:pPr>
      <w:widowControl/>
      <w:snapToGrid w:val="0"/>
      <w:spacing w:afterLines="50"/>
      <w:ind w:firstLine="200" w:firstLineChars="200"/>
    </w:pPr>
    <w:rPr>
      <w:kern w:val="0"/>
      <w:sz w:val="24"/>
      <w:szCs w:val="20"/>
    </w:rPr>
  </w:style>
  <w:style w:type="paragraph" w:customStyle="1" w:styleId="20">
    <w:name w:val="p16"/>
    <w:basedOn w:val="1"/>
    <w:qFormat/>
    <w:uiPriority w:val="0"/>
    <w:pPr>
      <w:widowControl/>
    </w:pPr>
    <w:rPr>
      <w:rFonts w:ascii="宋体" w:hAnsi="宋体" w:cs="宋体"/>
      <w:kern w:val="0"/>
      <w:szCs w:val="21"/>
    </w:rPr>
  </w:style>
  <w:style w:type="paragraph" w:customStyle="1" w:styleId="21">
    <w:name w:val="默认段落字体 Para Char Char Char Char Char Char Char Char Char1 Char Char Char Char"/>
    <w:basedOn w:val="1"/>
    <w:qFormat/>
    <w:uiPriority w:val="0"/>
    <w:rPr>
      <w:rFonts w:ascii="Tahoma" w:hAnsi="Tahoma"/>
      <w:sz w:val="24"/>
      <w:szCs w:val="20"/>
    </w:rPr>
  </w:style>
  <w:style w:type="paragraph" w:customStyle="1" w:styleId="22">
    <w:name w:val="表名称"/>
    <w:basedOn w:val="7"/>
    <w:qFormat/>
    <w:uiPriority w:val="0"/>
    <w:pPr>
      <w:numPr>
        <w:ilvl w:val="0"/>
        <w:numId w:val="1"/>
      </w:numPr>
      <w:tabs>
        <w:tab w:val="left" w:pos="360"/>
      </w:tabs>
      <w:spacing w:before="120" w:after="120"/>
      <w:ind w:left="0" w:firstLine="0"/>
      <w:jc w:val="center"/>
    </w:pPr>
    <w:rPr>
      <w:rFonts w:ascii="Calibri" w:hAnsi="Calibri"/>
    </w:rPr>
  </w:style>
  <w:style w:type="character" w:customStyle="1" w:styleId="23">
    <w:name w:val="页脚 字符"/>
    <w:basedOn w:val="16"/>
    <w:link w:val="11"/>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886</Words>
  <Characters>5053</Characters>
  <Lines>42</Lines>
  <Paragraphs>11</Paragraphs>
  <TotalTime>3</TotalTime>
  <ScaleCrop>false</ScaleCrop>
  <LinksUpToDate>false</LinksUpToDate>
  <CharactersWithSpaces>5928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2022-09-23T01:22:00Z</dcterms:created>
  <dc:creator>到此一游</dc:creator>
  <cp:lastModifiedBy>黄柳方</cp:lastModifiedBy>
  <dcterms:modified xsi:type="dcterms:W3CDTF">2022-09-23T02:56:26Z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CF10AF6197F1468396E72DEF3A9F597E</vt:lpwstr>
  </property>
</Properties>
</file>